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9C" w:rsidRPr="0084597D" w:rsidRDefault="000E319C" w:rsidP="000E319C">
      <w:pPr>
        <w:pStyle w:val="Nzev"/>
        <w:rPr>
          <w:rFonts w:ascii="Arial" w:hAnsi="Arial" w:cs="Arial"/>
          <w:b/>
        </w:rPr>
      </w:pPr>
      <w:bookmarkStart w:id="0" w:name="_Toc466900827"/>
      <w:r w:rsidRPr="0084597D">
        <w:rPr>
          <w:rFonts w:ascii="Arial" w:hAnsi="Arial" w:cs="Arial"/>
          <w:b/>
        </w:rPr>
        <w:t>Zpráva o plnění Akčního plánu na podporu hospodářského růstu a zaměstnanosti ČR</w:t>
      </w:r>
    </w:p>
    <w:p w:rsidR="000E319C" w:rsidRDefault="000E319C" w:rsidP="000E319C">
      <w:pPr>
        <w:pStyle w:val="Bezmezer"/>
      </w:pPr>
      <w:r>
        <w:t>1. a 2. čtvrtletí 2017</w:t>
      </w:r>
    </w:p>
    <w:p w:rsidR="000E319C" w:rsidRDefault="000E319C" w:rsidP="000E319C">
      <w:r>
        <w:t>Textová část – komentáře a hodnocení</w:t>
      </w:r>
    </w:p>
    <w:p w:rsidR="000E319C" w:rsidRDefault="000E319C" w:rsidP="000E319C">
      <w:r>
        <w:t>VERZE PRO JEDNÁNÍ PT RHSD pro hospodářskou politiku</w:t>
      </w:r>
    </w:p>
    <w:p w:rsidR="000E319C" w:rsidRDefault="000E319C" w:rsidP="000E319C"/>
    <w:p w:rsidR="000E319C" w:rsidRDefault="000E319C" w:rsidP="000E319C"/>
    <w:p w:rsidR="000E319C" w:rsidRDefault="000E319C" w:rsidP="000E319C"/>
    <w:p w:rsidR="000E319C" w:rsidRDefault="000E319C" w:rsidP="000E319C"/>
    <w:p w:rsidR="000E319C" w:rsidRDefault="000E319C" w:rsidP="000E319C"/>
    <w:p w:rsidR="00833957" w:rsidRDefault="00833957" w:rsidP="000E319C"/>
    <w:p w:rsidR="00833957" w:rsidRDefault="00833957" w:rsidP="000E319C"/>
    <w:p w:rsidR="00833957" w:rsidRDefault="00833957" w:rsidP="000E319C"/>
    <w:p w:rsidR="00833957" w:rsidRDefault="00833957" w:rsidP="000E319C"/>
    <w:p w:rsidR="00833957" w:rsidRDefault="00833957" w:rsidP="000E319C"/>
    <w:p w:rsidR="00833957" w:rsidRDefault="00833957" w:rsidP="000E319C"/>
    <w:p w:rsidR="00833957" w:rsidRDefault="00833957" w:rsidP="000E319C"/>
    <w:p w:rsidR="00833957" w:rsidRDefault="00833957" w:rsidP="000E319C"/>
    <w:p w:rsidR="00833957" w:rsidRDefault="00833957" w:rsidP="000E319C"/>
    <w:p w:rsidR="00833957" w:rsidRDefault="00833957" w:rsidP="000E319C"/>
    <w:p w:rsidR="00833957" w:rsidRDefault="00833957" w:rsidP="000E319C"/>
    <w:p w:rsidR="00833957" w:rsidRDefault="00833957" w:rsidP="000E319C"/>
    <w:p w:rsidR="00833957" w:rsidRDefault="00833957" w:rsidP="000E319C"/>
    <w:p w:rsidR="00833957" w:rsidRDefault="00833957" w:rsidP="000E319C"/>
    <w:p w:rsidR="00833957" w:rsidRDefault="00833957" w:rsidP="000E319C"/>
    <w:p w:rsidR="00833957" w:rsidRDefault="00833957" w:rsidP="000E319C"/>
    <w:p w:rsidR="008353A7" w:rsidRDefault="008353A7" w:rsidP="008353A7">
      <w:pPr>
        <w:pStyle w:val="Nadpis2"/>
        <w:numPr>
          <w:ilvl w:val="0"/>
          <w:numId w:val="0"/>
        </w:numPr>
        <w:ind w:left="720" w:hanging="360"/>
        <w:jc w:val="left"/>
      </w:pPr>
      <w:r>
        <w:lastRenderedPageBreak/>
        <w:t>Úvod: Stručné hodnocení dvou a půl let fungování Akčního plánu</w:t>
      </w:r>
    </w:p>
    <w:p w:rsidR="008353A7" w:rsidRPr="008353A7" w:rsidRDefault="008353A7" w:rsidP="008353A7">
      <w:pPr>
        <w:jc w:val="both"/>
        <w:rPr>
          <w:rFonts w:ascii="Arial" w:hAnsi="Arial" w:cs="Arial"/>
        </w:rPr>
      </w:pPr>
      <w:r w:rsidRPr="008353A7">
        <w:rPr>
          <w:rFonts w:ascii="Arial" w:hAnsi="Arial" w:cs="Arial"/>
        </w:rPr>
        <w:t xml:space="preserve">Akční plán na podporu hospodářského růstu a zaměstnanosti ČR (Akční plán) je </w:t>
      </w:r>
      <w:r w:rsidRPr="00B84CBC">
        <w:rPr>
          <w:rFonts w:ascii="Arial" w:hAnsi="Arial" w:cs="Arial"/>
          <w:b/>
        </w:rPr>
        <w:t>prováděcí dokument</w:t>
      </w:r>
      <w:r w:rsidRPr="008353A7">
        <w:rPr>
          <w:rFonts w:ascii="Arial" w:hAnsi="Arial" w:cs="Arial"/>
        </w:rPr>
        <w:t>, kterým již třetí rok v řadě dochází ke koordinaci kroků vlády a jednotlivých ministerstev v oblasti hospodářské a sociální politiky. Akční plán je připravován ve spolupráci se sociálními partnery</w:t>
      </w:r>
      <w:r>
        <w:rPr>
          <w:rFonts w:ascii="Arial" w:hAnsi="Arial" w:cs="Arial"/>
        </w:rPr>
        <w:t>, schvaluje ho vláda po projednání v tripartitě</w:t>
      </w:r>
      <w:r w:rsidRPr="008353A7">
        <w:rPr>
          <w:rFonts w:ascii="Arial" w:hAnsi="Arial" w:cs="Arial"/>
        </w:rPr>
        <w:t xml:space="preserve"> a jeho plněním se zabývá Porada ekonomických ministrů za účasti zástupců zaměstnanců a zaměstnavatelů.</w:t>
      </w:r>
    </w:p>
    <w:p w:rsidR="008353A7" w:rsidRPr="008353A7" w:rsidRDefault="008353A7" w:rsidP="008353A7">
      <w:pPr>
        <w:jc w:val="both"/>
        <w:rPr>
          <w:rFonts w:ascii="Arial" w:hAnsi="Arial" w:cs="Arial"/>
        </w:rPr>
      </w:pPr>
      <w:r w:rsidRPr="00B84CBC">
        <w:rPr>
          <w:rFonts w:ascii="Arial" w:hAnsi="Arial" w:cs="Arial"/>
          <w:b/>
        </w:rPr>
        <w:t>Akční plány pro roky 2015 a 2016</w:t>
      </w:r>
      <w:r w:rsidRPr="008353A7">
        <w:rPr>
          <w:rFonts w:ascii="Arial" w:hAnsi="Arial" w:cs="Arial"/>
        </w:rPr>
        <w:t xml:space="preserve"> vycházely z Programového prohlášení vlády, usnesení vlády, rezortních strategií a požadavků sociálních partnerů. V prvních dvou letech se soustředily především na odstranění nesystémových prvků v legislativě či fungování ekonomických nástrojů, které bránily hospodářskému růstu. Akční plán se nezabývá podrobnostmi ve vztahu k řízení čerpání evropských zdrojů, věnoval a věnuje se ale otázce investičních priorit. </w:t>
      </w:r>
    </w:p>
    <w:p w:rsidR="008353A7" w:rsidRPr="008353A7" w:rsidRDefault="008353A7" w:rsidP="008353A7">
      <w:pPr>
        <w:jc w:val="both"/>
        <w:rPr>
          <w:rFonts w:ascii="Arial" w:hAnsi="Arial" w:cs="Arial"/>
        </w:rPr>
      </w:pPr>
      <w:r w:rsidRPr="008353A7">
        <w:rPr>
          <w:rFonts w:ascii="Arial" w:hAnsi="Arial" w:cs="Arial"/>
        </w:rPr>
        <w:t xml:space="preserve">Naplňování Akčního plánu v letech 2015 a 2016 lze hodnotit jako </w:t>
      </w:r>
      <w:r w:rsidR="00B84CBC">
        <w:rPr>
          <w:rFonts w:ascii="Arial" w:hAnsi="Arial" w:cs="Arial"/>
        </w:rPr>
        <w:t xml:space="preserve">většinově </w:t>
      </w:r>
      <w:r w:rsidRPr="008353A7">
        <w:rPr>
          <w:rFonts w:ascii="Arial" w:hAnsi="Arial" w:cs="Arial"/>
        </w:rPr>
        <w:t>úspěšné. V obou letech bylo splněno přes 90 % předpokládaných opatření. Zejména:</w:t>
      </w:r>
    </w:p>
    <w:p w:rsidR="008353A7" w:rsidRPr="008353A7" w:rsidRDefault="008353A7" w:rsidP="008353A7">
      <w:pPr>
        <w:pStyle w:val="Odstavecseseznamem"/>
        <w:numPr>
          <w:ilvl w:val="0"/>
          <w:numId w:val="14"/>
        </w:numPr>
        <w:jc w:val="both"/>
        <w:rPr>
          <w:rFonts w:ascii="Arial" w:hAnsi="Arial" w:cs="Arial"/>
        </w:rPr>
      </w:pPr>
      <w:r w:rsidRPr="008353A7">
        <w:rPr>
          <w:rFonts w:ascii="Arial" w:hAnsi="Arial" w:cs="Arial"/>
        </w:rPr>
        <w:t>Byl schválen zákon o veřejných zakázkách</w:t>
      </w:r>
    </w:p>
    <w:p w:rsidR="008353A7" w:rsidRPr="008353A7" w:rsidRDefault="008353A7" w:rsidP="008353A7">
      <w:pPr>
        <w:pStyle w:val="Odstavecseseznamem"/>
        <w:numPr>
          <w:ilvl w:val="0"/>
          <w:numId w:val="14"/>
        </w:numPr>
        <w:jc w:val="both"/>
        <w:rPr>
          <w:rFonts w:ascii="Arial" w:hAnsi="Arial" w:cs="Arial"/>
        </w:rPr>
      </w:pPr>
      <w:r w:rsidRPr="008353A7">
        <w:rPr>
          <w:rFonts w:ascii="Arial" w:hAnsi="Arial" w:cs="Arial"/>
        </w:rPr>
        <w:t>Byla schválena novela stavebního zákona a vyjednána výjimka z EIA pro prioritní dopravní záměry</w:t>
      </w:r>
    </w:p>
    <w:p w:rsidR="008353A7" w:rsidRPr="008353A7" w:rsidRDefault="008353A7" w:rsidP="008353A7">
      <w:pPr>
        <w:pStyle w:val="Odstavecseseznamem"/>
        <w:numPr>
          <w:ilvl w:val="0"/>
          <w:numId w:val="14"/>
        </w:numPr>
        <w:jc w:val="both"/>
        <w:rPr>
          <w:rFonts w:ascii="Arial" w:hAnsi="Arial" w:cs="Arial"/>
        </w:rPr>
      </w:pPr>
      <w:r w:rsidRPr="008353A7">
        <w:rPr>
          <w:rFonts w:ascii="Arial" w:hAnsi="Arial" w:cs="Arial"/>
        </w:rPr>
        <w:t>Došlo ke zefektivnění ekonomické diplomacie</w:t>
      </w:r>
    </w:p>
    <w:p w:rsidR="008353A7" w:rsidRPr="008353A7" w:rsidRDefault="008353A7" w:rsidP="008353A7">
      <w:pPr>
        <w:pStyle w:val="Odstavecseseznamem"/>
        <w:numPr>
          <w:ilvl w:val="0"/>
          <w:numId w:val="14"/>
        </w:numPr>
        <w:jc w:val="both"/>
        <w:rPr>
          <w:rFonts w:ascii="Arial" w:hAnsi="Arial" w:cs="Arial"/>
        </w:rPr>
      </w:pPr>
      <w:r w:rsidRPr="008353A7">
        <w:rPr>
          <w:rFonts w:ascii="Arial" w:hAnsi="Arial" w:cs="Arial"/>
        </w:rPr>
        <w:t>Byla opakovaně navyšována minimální mzda</w:t>
      </w:r>
    </w:p>
    <w:p w:rsidR="008353A7" w:rsidRPr="008353A7" w:rsidRDefault="008353A7" w:rsidP="008353A7">
      <w:pPr>
        <w:pStyle w:val="Odstavecseseznamem"/>
        <w:numPr>
          <w:ilvl w:val="0"/>
          <w:numId w:val="14"/>
        </w:numPr>
        <w:jc w:val="both"/>
        <w:rPr>
          <w:rFonts w:ascii="Arial" w:hAnsi="Arial" w:cs="Arial"/>
        </w:rPr>
      </w:pPr>
      <w:r w:rsidRPr="008353A7">
        <w:rPr>
          <w:rFonts w:ascii="Arial" w:hAnsi="Arial" w:cs="Arial"/>
        </w:rPr>
        <w:t>Došlo k posílení a lepšímu zacílení kontrol inspekce práce</w:t>
      </w:r>
    </w:p>
    <w:p w:rsidR="008353A7" w:rsidRPr="008353A7" w:rsidRDefault="008353A7" w:rsidP="008353A7">
      <w:pPr>
        <w:pStyle w:val="Odstavecseseznamem"/>
        <w:numPr>
          <w:ilvl w:val="0"/>
          <w:numId w:val="14"/>
        </w:numPr>
        <w:jc w:val="both"/>
        <w:rPr>
          <w:rFonts w:ascii="Arial" w:hAnsi="Arial" w:cs="Arial"/>
        </w:rPr>
      </w:pPr>
      <w:r w:rsidRPr="008353A7">
        <w:rPr>
          <w:rFonts w:ascii="Arial" w:hAnsi="Arial" w:cs="Arial"/>
        </w:rPr>
        <w:t>Zahájil se program investic do výstavby a popravy školek a škol</w:t>
      </w:r>
    </w:p>
    <w:p w:rsidR="008353A7" w:rsidRPr="008353A7" w:rsidRDefault="008353A7" w:rsidP="008353A7">
      <w:pPr>
        <w:pStyle w:val="Odstavecseseznamem"/>
        <w:numPr>
          <w:ilvl w:val="0"/>
          <w:numId w:val="14"/>
        </w:numPr>
        <w:jc w:val="both"/>
        <w:rPr>
          <w:rFonts w:ascii="Arial" w:hAnsi="Arial" w:cs="Arial"/>
        </w:rPr>
      </w:pPr>
      <w:r w:rsidRPr="008353A7">
        <w:rPr>
          <w:rFonts w:ascii="Arial" w:hAnsi="Arial" w:cs="Arial"/>
        </w:rPr>
        <w:t>Byly realizován projekt POSPOLU, který propojuje vzdělávání a praxi</w:t>
      </w:r>
    </w:p>
    <w:p w:rsidR="008353A7" w:rsidRPr="008353A7" w:rsidRDefault="008353A7" w:rsidP="008353A7">
      <w:pPr>
        <w:pStyle w:val="Odstavecseseznamem"/>
        <w:numPr>
          <w:ilvl w:val="0"/>
          <w:numId w:val="14"/>
        </w:numPr>
        <w:jc w:val="both"/>
        <w:rPr>
          <w:rFonts w:ascii="Arial" w:hAnsi="Arial" w:cs="Arial"/>
        </w:rPr>
      </w:pPr>
      <w:r w:rsidRPr="008353A7">
        <w:rPr>
          <w:rFonts w:ascii="Arial" w:hAnsi="Arial" w:cs="Arial"/>
        </w:rPr>
        <w:t>Bylo zavedeno kontrolní hlášení a elektronická evidence tržeb</w:t>
      </w:r>
    </w:p>
    <w:p w:rsidR="008353A7" w:rsidRPr="008353A7" w:rsidRDefault="008353A7" w:rsidP="008353A7">
      <w:pPr>
        <w:pStyle w:val="Odstavecseseznamem"/>
        <w:numPr>
          <w:ilvl w:val="0"/>
          <w:numId w:val="14"/>
        </w:numPr>
        <w:jc w:val="both"/>
        <w:rPr>
          <w:rFonts w:ascii="Arial" w:hAnsi="Arial" w:cs="Arial"/>
        </w:rPr>
      </w:pPr>
      <w:r w:rsidRPr="008353A7">
        <w:rPr>
          <w:rFonts w:ascii="Arial" w:hAnsi="Arial" w:cs="Arial"/>
        </w:rPr>
        <w:t>Došlo k lepšímu zacílení podpory na malé a střední podniky</w:t>
      </w:r>
    </w:p>
    <w:p w:rsidR="008353A7" w:rsidRPr="008353A7" w:rsidRDefault="008353A7" w:rsidP="008353A7">
      <w:pPr>
        <w:pStyle w:val="Odstavecseseznamem"/>
        <w:numPr>
          <w:ilvl w:val="0"/>
          <w:numId w:val="14"/>
        </w:numPr>
        <w:jc w:val="both"/>
        <w:rPr>
          <w:rFonts w:ascii="Arial" w:hAnsi="Arial" w:cs="Arial"/>
        </w:rPr>
      </w:pPr>
      <w:r w:rsidRPr="008353A7">
        <w:rPr>
          <w:rFonts w:ascii="Arial" w:hAnsi="Arial" w:cs="Arial"/>
        </w:rPr>
        <w:t>Byla zpracována Iniciativa Průmysl 4.0 a navazující dokumenty</w:t>
      </w:r>
    </w:p>
    <w:p w:rsidR="008353A7" w:rsidRPr="008353A7" w:rsidRDefault="008353A7" w:rsidP="008353A7">
      <w:pPr>
        <w:pStyle w:val="Odstavecseseznamem"/>
        <w:numPr>
          <w:ilvl w:val="0"/>
          <w:numId w:val="14"/>
        </w:numPr>
        <w:jc w:val="both"/>
        <w:rPr>
          <w:rFonts w:ascii="Arial" w:hAnsi="Arial" w:cs="Arial"/>
        </w:rPr>
      </w:pPr>
      <w:r w:rsidRPr="008353A7">
        <w:rPr>
          <w:rFonts w:ascii="Arial" w:hAnsi="Arial" w:cs="Arial"/>
        </w:rPr>
        <w:t>Byla schválena Aktualizace Státní energetické koncepce</w:t>
      </w:r>
    </w:p>
    <w:p w:rsidR="008353A7" w:rsidRPr="008353A7" w:rsidRDefault="008353A7" w:rsidP="008353A7">
      <w:pPr>
        <w:pStyle w:val="Odstavecseseznamem"/>
        <w:numPr>
          <w:ilvl w:val="0"/>
          <w:numId w:val="14"/>
        </w:numPr>
        <w:jc w:val="both"/>
        <w:rPr>
          <w:rFonts w:ascii="Arial" w:hAnsi="Arial" w:cs="Arial"/>
        </w:rPr>
      </w:pPr>
      <w:r w:rsidRPr="008353A7">
        <w:rPr>
          <w:rFonts w:ascii="Arial" w:hAnsi="Arial" w:cs="Arial"/>
        </w:rPr>
        <w:t>Byl zpracován NAP rozvoje jaderné energetiky v České republice</w:t>
      </w:r>
    </w:p>
    <w:p w:rsidR="008353A7" w:rsidRPr="008353A7" w:rsidRDefault="008353A7" w:rsidP="008353A7">
      <w:pPr>
        <w:jc w:val="both"/>
        <w:rPr>
          <w:rFonts w:ascii="Arial" w:hAnsi="Arial" w:cs="Arial"/>
        </w:rPr>
      </w:pPr>
      <w:r w:rsidRPr="008353A7">
        <w:rPr>
          <w:rFonts w:ascii="Arial" w:hAnsi="Arial" w:cs="Arial"/>
        </w:rPr>
        <w:t xml:space="preserve">V průběhu těchto dvou let se také vláda rozhodla upustit od některých opatření, které původně Akční plán předpokládal. Jde především o zrušení </w:t>
      </w:r>
      <w:proofErr w:type="spellStart"/>
      <w:r w:rsidRPr="008353A7">
        <w:rPr>
          <w:rFonts w:ascii="Arial" w:hAnsi="Arial" w:cs="Arial"/>
        </w:rPr>
        <w:t>superhrubé</w:t>
      </w:r>
      <w:proofErr w:type="spellEnd"/>
      <w:r w:rsidRPr="008353A7">
        <w:rPr>
          <w:rFonts w:ascii="Arial" w:hAnsi="Arial" w:cs="Arial"/>
        </w:rPr>
        <w:t xml:space="preserve"> mzdy a solidární přirážky zavedením druhé sazby daně z příjmů fyzických osob úpravou daňového základu (AP 2015) a předložení zákona o liniových stavbách (také AP 2015). V prvním případě s úkolem zásadně nesouhlasilo Ministerstvo financí, které mělo být předkladatelem, ve druhém případě došlo se změnou vedení Ministerstva dopravy ke změně náhledu na vhodné řešení problematiky výstavby liniových staveb.</w:t>
      </w:r>
    </w:p>
    <w:p w:rsidR="008353A7" w:rsidRPr="008353A7" w:rsidRDefault="008353A7" w:rsidP="008353A7">
      <w:pPr>
        <w:jc w:val="both"/>
        <w:rPr>
          <w:rFonts w:ascii="Arial" w:hAnsi="Arial" w:cs="Arial"/>
        </w:rPr>
      </w:pPr>
      <w:r w:rsidRPr="008353A7">
        <w:rPr>
          <w:rFonts w:ascii="Arial" w:hAnsi="Arial" w:cs="Arial"/>
        </w:rPr>
        <w:t xml:space="preserve">Několik dalších úkolů, jako například předložení návrhu zákon o podpoře </w:t>
      </w:r>
      <w:proofErr w:type="spellStart"/>
      <w:r w:rsidRPr="008353A7">
        <w:rPr>
          <w:rFonts w:ascii="Arial" w:hAnsi="Arial" w:cs="Arial"/>
        </w:rPr>
        <w:t>VaVaI</w:t>
      </w:r>
      <w:proofErr w:type="spellEnd"/>
      <w:r w:rsidRPr="008353A7">
        <w:rPr>
          <w:rFonts w:ascii="Arial" w:hAnsi="Arial" w:cs="Arial"/>
        </w:rPr>
        <w:t xml:space="preserve"> nebo zákona o sociálním bydlení</w:t>
      </w:r>
      <w:r w:rsidR="00B84CBC">
        <w:rPr>
          <w:rFonts w:ascii="Arial" w:hAnsi="Arial" w:cs="Arial"/>
        </w:rPr>
        <w:t>,</w:t>
      </w:r>
      <w:r w:rsidRPr="008353A7">
        <w:rPr>
          <w:rFonts w:ascii="Arial" w:hAnsi="Arial" w:cs="Arial"/>
        </w:rPr>
        <w:t xml:space="preserve"> „putovalo“ akčními plány až do roku 2017, kdy byly obě normy předloženy vládě. Nepodařilo se ale zajistit jejich schválení Parlamentem ČR.</w:t>
      </w:r>
    </w:p>
    <w:p w:rsidR="008353A7" w:rsidRPr="008353A7" w:rsidRDefault="008353A7" w:rsidP="008353A7">
      <w:pPr>
        <w:jc w:val="both"/>
        <w:rPr>
          <w:rFonts w:ascii="Arial" w:hAnsi="Arial" w:cs="Arial"/>
        </w:rPr>
      </w:pPr>
      <w:r w:rsidRPr="00B84CBC">
        <w:rPr>
          <w:rFonts w:ascii="Arial" w:hAnsi="Arial" w:cs="Arial"/>
          <w:b/>
        </w:rPr>
        <w:t>Pro rok 2017</w:t>
      </w:r>
      <w:r w:rsidRPr="008353A7">
        <w:rPr>
          <w:rFonts w:ascii="Arial" w:hAnsi="Arial" w:cs="Arial"/>
        </w:rPr>
        <w:t xml:space="preserve"> byla zvolena mírně odlišná metoda tvorby Akčního plánu i hodnocení jeho naplňování. AP 2017 vznikal v době, kdy byl již zcela zřejmý trend růstu české ekonomiky. Bylo také zjevné, že </w:t>
      </w:r>
      <w:r w:rsidRPr="00B84CBC">
        <w:rPr>
          <w:rFonts w:ascii="Arial" w:hAnsi="Arial" w:cs="Arial"/>
          <w:b/>
        </w:rPr>
        <w:t>dosavadní východiska AP z let 2015 a 2016 potřebují revizi</w:t>
      </w:r>
      <w:r w:rsidRPr="008353A7">
        <w:rPr>
          <w:rFonts w:ascii="Arial" w:hAnsi="Arial" w:cs="Arial"/>
        </w:rPr>
        <w:t xml:space="preserve">, protože se příliš soustředila na odstranění projevů krize, ale nedostatečně aktivně vyhledávala potenciál pro </w:t>
      </w:r>
      <w:r w:rsidR="00B84CBC">
        <w:rPr>
          <w:rFonts w:ascii="Arial" w:hAnsi="Arial" w:cs="Arial"/>
        </w:rPr>
        <w:t xml:space="preserve">systémovou </w:t>
      </w:r>
      <w:r w:rsidRPr="008353A7">
        <w:rPr>
          <w:rFonts w:ascii="Arial" w:hAnsi="Arial" w:cs="Arial"/>
        </w:rPr>
        <w:t xml:space="preserve">akceleraci růstu. Sestavení nového Akčního plánu proto předcházela </w:t>
      </w:r>
      <w:r w:rsidRPr="00B84CBC">
        <w:rPr>
          <w:rFonts w:ascii="Arial" w:hAnsi="Arial" w:cs="Arial"/>
          <w:b/>
        </w:rPr>
        <w:t>ekonomicko-politická diskuse nad revizí východisek</w:t>
      </w:r>
      <w:r w:rsidRPr="008353A7">
        <w:rPr>
          <w:rFonts w:ascii="Arial" w:hAnsi="Arial" w:cs="Arial"/>
        </w:rPr>
        <w:t xml:space="preserve"> a došlo k jeho zúžení a </w:t>
      </w:r>
      <w:r w:rsidRPr="008353A7">
        <w:rPr>
          <w:rFonts w:ascii="Arial" w:hAnsi="Arial" w:cs="Arial"/>
        </w:rPr>
        <w:lastRenderedPageBreak/>
        <w:t xml:space="preserve">podrobnější strukturaci. Byla také </w:t>
      </w:r>
      <w:r w:rsidRPr="00B84CBC">
        <w:rPr>
          <w:rFonts w:ascii="Arial" w:hAnsi="Arial" w:cs="Arial"/>
          <w:b/>
        </w:rPr>
        <w:t>změněna metoda jeho vyhodnocování</w:t>
      </w:r>
      <w:r w:rsidRPr="008353A7">
        <w:rPr>
          <w:rFonts w:ascii="Arial" w:hAnsi="Arial" w:cs="Arial"/>
        </w:rPr>
        <w:t xml:space="preserve">. Zatímco v uplynulých letech bylo plnění z velké části ponecháno na odpovědnosti rezortů, pro rok 2017 je snaha prezentovat výsledky plnění Akčního plánu v ucelenějším rámci. </w:t>
      </w:r>
    </w:p>
    <w:p w:rsidR="008353A7" w:rsidRDefault="008353A7" w:rsidP="008353A7">
      <w:pPr>
        <w:jc w:val="both"/>
        <w:rPr>
          <w:rFonts w:ascii="Arial" w:hAnsi="Arial" w:cs="Arial"/>
        </w:rPr>
      </w:pPr>
      <w:r w:rsidRPr="008353A7">
        <w:rPr>
          <w:rFonts w:ascii="Arial" w:hAnsi="Arial" w:cs="Arial"/>
        </w:rPr>
        <w:t xml:space="preserve">Akční plán pro rok 2017 je strukturovaný do </w:t>
      </w:r>
      <w:r w:rsidR="00B84CBC" w:rsidRPr="00B84CBC">
        <w:rPr>
          <w:rFonts w:ascii="Arial" w:hAnsi="Arial" w:cs="Arial"/>
          <w:b/>
        </w:rPr>
        <w:t>t</w:t>
      </w:r>
      <w:r w:rsidRPr="00B84CBC">
        <w:rPr>
          <w:rFonts w:ascii="Arial" w:hAnsi="Arial" w:cs="Arial"/>
          <w:b/>
        </w:rPr>
        <w:t>ří prioritních os, každá obsahuje několik cílů, jejichž naplňování se sleduje prostřednictvím měřitelných indikátorů</w:t>
      </w:r>
      <w:r w:rsidRPr="008353A7">
        <w:rPr>
          <w:rFonts w:ascii="Arial" w:hAnsi="Arial" w:cs="Arial"/>
        </w:rPr>
        <w:t xml:space="preserve"> (pokud jsou k dispozici). Nově je těžiště plnění Akčního plánu </w:t>
      </w:r>
      <w:r w:rsidRPr="00B84CBC">
        <w:rPr>
          <w:rFonts w:ascii="Arial" w:hAnsi="Arial" w:cs="Arial"/>
          <w:b/>
          <w:u w:val="single"/>
        </w:rPr>
        <w:t>v textové části</w:t>
      </w:r>
      <w:r w:rsidRPr="008353A7">
        <w:rPr>
          <w:rFonts w:ascii="Arial" w:hAnsi="Arial" w:cs="Arial"/>
        </w:rPr>
        <w:t xml:space="preserve">, tabulka opatření slouží </w:t>
      </w:r>
      <w:r w:rsidR="00B84CBC">
        <w:rPr>
          <w:rFonts w:ascii="Arial" w:hAnsi="Arial" w:cs="Arial"/>
        </w:rPr>
        <w:t xml:space="preserve">jen </w:t>
      </w:r>
      <w:r w:rsidRPr="008353A7">
        <w:rPr>
          <w:rFonts w:ascii="Arial" w:hAnsi="Arial" w:cs="Arial"/>
        </w:rPr>
        <w:t xml:space="preserve">jako </w:t>
      </w:r>
      <w:r>
        <w:rPr>
          <w:rFonts w:ascii="Arial" w:hAnsi="Arial" w:cs="Arial"/>
        </w:rPr>
        <w:t>doprovodný přehledový</w:t>
      </w:r>
      <w:r w:rsidRPr="008353A7">
        <w:rPr>
          <w:rFonts w:ascii="Arial" w:hAnsi="Arial" w:cs="Arial"/>
        </w:rPr>
        <w:t xml:space="preserve"> materiál. </w:t>
      </w:r>
    </w:p>
    <w:p w:rsidR="00944267" w:rsidRDefault="00B84CBC" w:rsidP="008353A7">
      <w:pPr>
        <w:jc w:val="both"/>
        <w:rPr>
          <w:rFonts w:ascii="Arial" w:hAnsi="Arial" w:cs="Arial"/>
        </w:rPr>
      </w:pPr>
      <w:r w:rsidRPr="00B84CBC">
        <w:rPr>
          <w:rFonts w:ascii="Arial" w:hAnsi="Arial" w:cs="Arial"/>
          <w:b/>
        </w:rPr>
        <w:t>Z celkových 45 opatření pro rok 2017 bylo do konce června 35 opatření splněno nebo průběžně naplňováno</w:t>
      </w:r>
      <w:r>
        <w:rPr>
          <w:rFonts w:ascii="Arial" w:hAnsi="Arial" w:cs="Arial"/>
        </w:rPr>
        <w:t xml:space="preserve">. </w:t>
      </w:r>
      <w:r w:rsidR="00944267">
        <w:rPr>
          <w:rFonts w:ascii="Arial" w:hAnsi="Arial" w:cs="Arial"/>
        </w:rPr>
        <w:t xml:space="preserve">Mezi hlavní opatření, která se </w:t>
      </w:r>
      <w:r>
        <w:rPr>
          <w:rFonts w:ascii="Arial" w:hAnsi="Arial" w:cs="Arial"/>
        </w:rPr>
        <w:t xml:space="preserve">zatím </w:t>
      </w:r>
      <w:r w:rsidR="00944267">
        <w:rPr>
          <w:rFonts w:ascii="Arial" w:hAnsi="Arial" w:cs="Arial"/>
        </w:rPr>
        <w:t xml:space="preserve">podařilo v roce 2017 </w:t>
      </w:r>
      <w:r>
        <w:rPr>
          <w:rFonts w:ascii="Arial" w:hAnsi="Arial" w:cs="Arial"/>
        </w:rPr>
        <w:t>splnit</w:t>
      </w:r>
      <w:r w:rsidR="00944267">
        <w:rPr>
          <w:rFonts w:ascii="Arial" w:hAnsi="Arial" w:cs="Arial"/>
        </w:rPr>
        <w:t>, patří:</w:t>
      </w:r>
    </w:p>
    <w:p w:rsidR="00944267" w:rsidRPr="00B84CBC" w:rsidRDefault="00944267" w:rsidP="00B84CBC">
      <w:pPr>
        <w:pStyle w:val="Odstavecseseznamem"/>
        <w:numPr>
          <w:ilvl w:val="0"/>
          <w:numId w:val="17"/>
        </w:numPr>
        <w:jc w:val="both"/>
        <w:rPr>
          <w:rFonts w:ascii="Arial" w:hAnsi="Arial" w:cs="Arial"/>
        </w:rPr>
      </w:pPr>
      <w:r w:rsidRPr="00B84CBC">
        <w:rPr>
          <w:rFonts w:ascii="Arial" w:hAnsi="Arial" w:cs="Arial"/>
        </w:rPr>
        <w:t>Předložení Souhrnného akčního plánu pro strukturálně znevýhodněné regiony</w:t>
      </w:r>
    </w:p>
    <w:p w:rsidR="00B84CBC" w:rsidRPr="00B84CBC" w:rsidRDefault="00B84CBC" w:rsidP="00B84CBC">
      <w:pPr>
        <w:pStyle w:val="Odstavecseseznamem"/>
        <w:numPr>
          <w:ilvl w:val="0"/>
          <w:numId w:val="17"/>
        </w:numPr>
        <w:jc w:val="both"/>
        <w:rPr>
          <w:rFonts w:ascii="Arial" w:hAnsi="Arial" w:cs="Arial"/>
        </w:rPr>
      </w:pPr>
      <w:r w:rsidRPr="00B84CBC">
        <w:rPr>
          <w:rFonts w:ascii="Arial" w:hAnsi="Arial" w:cs="Arial"/>
        </w:rPr>
        <w:t>Zvýšení minimální mzdy</w:t>
      </w:r>
    </w:p>
    <w:p w:rsidR="00B84CBC" w:rsidRPr="00B84CBC" w:rsidRDefault="00B84CBC" w:rsidP="00B84CBC">
      <w:pPr>
        <w:pStyle w:val="Odstavecseseznamem"/>
        <w:numPr>
          <w:ilvl w:val="0"/>
          <w:numId w:val="17"/>
        </w:numPr>
        <w:jc w:val="both"/>
        <w:rPr>
          <w:rFonts w:ascii="Arial" w:hAnsi="Arial" w:cs="Arial"/>
        </w:rPr>
      </w:pPr>
      <w:r w:rsidRPr="00B84CBC">
        <w:rPr>
          <w:rFonts w:ascii="Arial" w:hAnsi="Arial" w:cs="Arial"/>
        </w:rPr>
        <w:t>Schválení novely insolvenčního zákona</w:t>
      </w:r>
    </w:p>
    <w:p w:rsidR="00944267" w:rsidRPr="00B84CBC" w:rsidRDefault="00944267" w:rsidP="00B84CBC">
      <w:pPr>
        <w:pStyle w:val="Odstavecseseznamem"/>
        <w:numPr>
          <w:ilvl w:val="0"/>
          <w:numId w:val="17"/>
        </w:numPr>
        <w:jc w:val="both"/>
        <w:rPr>
          <w:rFonts w:ascii="Arial" w:hAnsi="Arial" w:cs="Arial"/>
        </w:rPr>
      </w:pPr>
      <w:r w:rsidRPr="00B84CBC">
        <w:rPr>
          <w:rFonts w:ascii="Arial" w:hAnsi="Arial" w:cs="Arial"/>
        </w:rPr>
        <w:t>Analýza stávajícího systému a podmínek pro nové směřování investičních pobídek</w:t>
      </w:r>
    </w:p>
    <w:p w:rsidR="00B84CBC" w:rsidRPr="00B84CBC" w:rsidRDefault="00B84CBC" w:rsidP="00B84CBC">
      <w:pPr>
        <w:pStyle w:val="Odstavecseseznamem"/>
        <w:numPr>
          <w:ilvl w:val="0"/>
          <w:numId w:val="17"/>
        </w:numPr>
        <w:jc w:val="both"/>
        <w:rPr>
          <w:rFonts w:ascii="Arial" w:hAnsi="Arial" w:cs="Arial"/>
        </w:rPr>
      </w:pPr>
      <w:r w:rsidRPr="00B84CBC">
        <w:rPr>
          <w:rFonts w:ascii="Arial" w:hAnsi="Arial" w:cs="Arial"/>
        </w:rPr>
        <w:t>Návrh transformace ČMZRB do národní rozvojové banky</w:t>
      </w:r>
    </w:p>
    <w:p w:rsidR="00B84CBC" w:rsidRPr="00B84CBC" w:rsidRDefault="00B84CBC" w:rsidP="00B84CBC">
      <w:pPr>
        <w:pStyle w:val="Odstavecseseznamem"/>
        <w:numPr>
          <w:ilvl w:val="0"/>
          <w:numId w:val="17"/>
        </w:numPr>
        <w:jc w:val="both"/>
        <w:rPr>
          <w:rFonts w:ascii="Arial" w:hAnsi="Arial" w:cs="Arial"/>
        </w:rPr>
      </w:pPr>
      <w:r w:rsidRPr="00B84CBC">
        <w:rPr>
          <w:rFonts w:ascii="Arial" w:hAnsi="Arial" w:cs="Arial"/>
        </w:rPr>
        <w:t>Vypracování ekonomické analýzy potenciálu sdílené ekonomiky</w:t>
      </w:r>
    </w:p>
    <w:p w:rsidR="008353A7" w:rsidRDefault="008353A7" w:rsidP="008353A7">
      <w:pPr>
        <w:jc w:val="both"/>
        <w:rPr>
          <w:rFonts w:ascii="Arial" w:hAnsi="Arial" w:cs="Arial"/>
        </w:rPr>
      </w:pPr>
      <w:r>
        <w:rPr>
          <w:rFonts w:ascii="Arial" w:hAnsi="Arial" w:cs="Arial"/>
        </w:rPr>
        <w:t>Z výše popsaného vývoje lze dovodit, že Akční plán se jako nástroj koordinace hospodářských a sociálních politik osvědčil především v následujících aspektech:</w:t>
      </w:r>
    </w:p>
    <w:p w:rsidR="008353A7" w:rsidRDefault="008353A7" w:rsidP="008353A7">
      <w:pPr>
        <w:pStyle w:val="Odstavecseseznamem"/>
        <w:numPr>
          <w:ilvl w:val="0"/>
          <w:numId w:val="15"/>
        </w:numPr>
        <w:jc w:val="both"/>
        <w:rPr>
          <w:rFonts w:ascii="Arial" w:hAnsi="Arial" w:cs="Arial"/>
        </w:rPr>
      </w:pPr>
      <w:r>
        <w:rPr>
          <w:rFonts w:ascii="Arial" w:hAnsi="Arial" w:cs="Arial"/>
        </w:rPr>
        <w:t xml:space="preserve">Zajistil </w:t>
      </w:r>
      <w:r w:rsidRPr="00B84CBC">
        <w:rPr>
          <w:rFonts w:ascii="Arial" w:hAnsi="Arial" w:cs="Arial"/>
        </w:rPr>
        <w:t>přehlednou a srozumitelnou formu „dohody“</w:t>
      </w:r>
      <w:r>
        <w:rPr>
          <w:rFonts w:ascii="Arial" w:hAnsi="Arial" w:cs="Arial"/>
        </w:rPr>
        <w:t xml:space="preserve"> vlády a sociálních partnerů na konkrétních opatřeních pro daný rok a jejich základních parametrech;</w:t>
      </w:r>
    </w:p>
    <w:p w:rsidR="008353A7" w:rsidRDefault="008353A7" w:rsidP="008353A7">
      <w:pPr>
        <w:pStyle w:val="Odstavecseseznamem"/>
        <w:numPr>
          <w:ilvl w:val="0"/>
          <w:numId w:val="15"/>
        </w:numPr>
        <w:jc w:val="both"/>
        <w:rPr>
          <w:rFonts w:ascii="Arial" w:hAnsi="Arial" w:cs="Arial"/>
        </w:rPr>
      </w:pPr>
      <w:r>
        <w:rPr>
          <w:rFonts w:ascii="Arial" w:hAnsi="Arial" w:cs="Arial"/>
        </w:rPr>
        <w:t>Umožnil operativně řešit problémy, pokud při jeho plnění vznikly, a na jejich existenci měla příležitost upozornit jak strana vlády, tak strana zaměstnanců i zaměstnavatelů;</w:t>
      </w:r>
    </w:p>
    <w:p w:rsidR="008353A7" w:rsidRDefault="008353A7" w:rsidP="008353A7">
      <w:pPr>
        <w:pStyle w:val="Odstavecseseznamem"/>
        <w:numPr>
          <w:ilvl w:val="0"/>
          <w:numId w:val="15"/>
        </w:numPr>
        <w:jc w:val="both"/>
        <w:rPr>
          <w:rFonts w:ascii="Arial" w:hAnsi="Arial" w:cs="Arial"/>
        </w:rPr>
      </w:pPr>
      <w:r>
        <w:rPr>
          <w:rFonts w:ascii="Arial" w:hAnsi="Arial" w:cs="Arial"/>
        </w:rPr>
        <w:t>Transparentně sděloval veřejnosti rámec aktivit v hospodářské a sociální politice pro daný rok a umožňoval vidět jednotlivá opatření v širších souvislostech;</w:t>
      </w:r>
    </w:p>
    <w:p w:rsidR="008353A7" w:rsidRDefault="008353A7" w:rsidP="008353A7">
      <w:pPr>
        <w:pStyle w:val="Odstavecseseznamem"/>
        <w:numPr>
          <w:ilvl w:val="0"/>
          <w:numId w:val="15"/>
        </w:numPr>
        <w:jc w:val="both"/>
        <w:rPr>
          <w:rFonts w:ascii="Arial" w:hAnsi="Arial" w:cs="Arial"/>
        </w:rPr>
      </w:pPr>
      <w:r>
        <w:rPr>
          <w:rFonts w:ascii="Arial" w:hAnsi="Arial" w:cs="Arial"/>
        </w:rPr>
        <w:t>Díky pravidelným zprávám o plnění a každoroční aktualizaci v čase zachycuje změnu dynamiky ekonomického vývoje v ČR a umožnil významné přehodnocení východisek bez nutnosti nejprve zásadně revidovat základní strategické dokumenty (jejichž aktualizace probíhala paralelně).</w:t>
      </w:r>
    </w:p>
    <w:p w:rsidR="008353A7" w:rsidRDefault="008353A7" w:rsidP="008353A7">
      <w:pPr>
        <w:jc w:val="both"/>
        <w:rPr>
          <w:rFonts w:ascii="Arial" w:hAnsi="Arial" w:cs="Arial"/>
        </w:rPr>
      </w:pPr>
      <w:r>
        <w:rPr>
          <w:rFonts w:ascii="Arial" w:hAnsi="Arial" w:cs="Arial"/>
        </w:rPr>
        <w:t xml:space="preserve">Jak je uvedeno výše, Akční plán má a měl od počátku ambici být dobrým prováděcím dokumentem, nikoliv však nahrazovat komplexní národohospodářskou nebo rozvojovou strategii. </w:t>
      </w:r>
      <w:r w:rsidR="00944267">
        <w:rPr>
          <w:rFonts w:ascii="Arial" w:hAnsi="Arial" w:cs="Arial"/>
        </w:rPr>
        <w:t xml:space="preserve">Může být ale do budoucna dále vhodným nástrojem koordinace, pokud budou </w:t>
      </w:r>
      <w:r w:rsidR="00944267" w:rsidRPr="00B84CBC">
        <w:rPr>
          <w:rFonts w:ascii="Arial" w:hAnsi="Arial" w:cs="Arial"/>
          <w:b/>
        </w:rPr>
        <w:t>naplněny následující předpoklady</w:t>
      </w:r>
      <w:r w:rsidR="00944267">
        <w:rPr>
          <w:rFonts w:ascii="Arial" w:hAnsi="Arial" w:cs="Arial"/>
        </w:rPr>
        <w:t>:</w:t>
      </w:r>
    </w:p>
    <w:p w:rsidR="00944267" w:rsidRDefault="00944267" w:rsidP="00944267">
      <w:pPr>
        <w:pStyle w:val="Odstavecseseznamem"/>
        <w:numPr>
          <w:ilvl w:val="0"/>
          <w:numId w:val="16"/>
        </w:numPr>
        <w:jc w:val="both"/>
        <w:rPr>
          <w:rFonts w:ascii="Arial" w:hAnsi="Arial" w:cs="Arial"/>
        </w:rPr>
      </w:pPr>
      <w:r>
        <w:rPr>
          <w:rFonts w:ascii="Arial" w:hAnsi="Arial" w:cs="Arial"/>
        </w:rPr>
        <w:t>Vláda bude podporovat účast sociálních partnerů na tvorbě a realizaci hospodářské a sociální politiky</w:t>
      </w:r>
    </w:p>
    <w:p w:rsidR="00944267" w:rsidRDefault="00944267" w:rsidP="00944267">
      <w:pPr>
        <w:pStyle w:val="Odstavecseseznamem"/>
        <w:numPr>
          <w:ilvl w:val="0"/>
          <w:numId w:val="16"/>
        </w:numPr>
        <w:jc w:val="both"/>
        <w:rPr>
          <w:rFonts w:ascii="Arial" w:hAnsi="Arial" w:cs="Arial"/>
        </w:rPr>
      </w:pPr>
      <w:r>
        <w:rPr>
          <w:rFonts w:ascii="Arial" w:hAnsi="Arial" w:cs="Arial"/>
        </w:rPr>
        <w:t>Vláda bude aktivně usilovat o podporu hospodářského růstu a zlepšování podmínek na trhu práce</w:t>
      </w:r>
    </w:p>
    <w:p w:rsidR="00944267" w:rsidRDefault="00944267" w:rsidP="00944267">
      <w:pPr>
        <w:pStyle w:val="Odstavecseseznamem"/>
        <w:numPr>
          <w:ilvl w:val="0"/>
          <w:numId w:val="16"/>
        </w:numPr>
        <w:jc w:val="both"/>
        <w:rPr>
          <w:rFonts w:ascii="Arial" w:hAnsi="Arial" w:cs="Arial"/>
        </w:rPr>
      </w:pPr>
      <w:r>
        <w:rPr>
          <w:rFonts w:ascii="Arial" w:hAnsi="Arial" w:cs="Arial"/>
        </w:rPr>
        <w:t>Vláda bude přistupovat k hospodářské a sociální politice jako k oblastem, které spolu souvisejí a mají v praxi efekt pouze tehdy, pokud na sebe koordinovaně reagují</w:t>
      </w:r>
      <w:r w:rsidR="00B84CBC">
        <w:rPr>
          <w:rFonts w:ascii="Arial" w:hAnsi="Arial" w:cs="Arial"/>
        </w:rPr>
        <w:t>;</w:t>
      </w:r>
    </w:p>
    <w:p w:rsidR="00944267" w:rsidRDefault="00944267" w:rsidP="00944267">
      <w:pPr>
        <w:pStyle w:val="Odstavecseseznamem"/>
        <w:numPr>
          <w:ilvl w:val="0"/>
          <w:numId w:val="16"/>
        </w:numPr>
        <w:jc w:val="both"/>
        <w:rPr>
          <w:rFonts w:ascii="Arial" w:hAnsi="Arial" w:cs="Arial"/>
        </w:rPr>
      </w:pPr>
      <w:r>
        <w:rPr>
          <w:rFonts w:ascii="Arial" w:hAnsi="Arial" w:cs="Arial"/>
        </w:rPr>
        <w:t xml:space="preserve">Vláda bude aktivně usilovat o stanovení </w:t>
      </w:r>
      <w:r w:rsidR="00B84CBC">
        <w:rPr>
          <w:rFonts w:ascii="Arial" w:hAnsi="Arial" w:cs="Arial"/>
        </w:rPr>
        <w:t>vhodných</w:t>
      </w:r>
      <w:r>
        <w:rPr>
          <w:rFonts w:ascii="Arial" w:hAnsi="Arial" w:cs="Arial"/>
        </w:rPr>
        <w:t xml:space="preserve"> investičních priorit i s ohledem na čerpání evropských fondů</w:t>
      </w:r>
      <w:r w:rsidR="00B84CBC">
        <w:rPr>
          <w:rFonts w:ascii="Arial" w:hAnsi="Arial" w:cs="Arial"/>
        </w:rPr>
        <w:t>;</w:t>
      </w:r>
    </w:p>
    <w:p w:rsidR="000E319C" w:rsidRDefault="00944267" w:rsidP="000E319C">
      <w:pPr>
        <w:pStyle w:val="Odstavecseseznamem"/>
        <w:numPr>
          <w:ilvl w:val="0"/>
          <w:numId w:val="16"/>
        </w:numPr>
        <w:jc w:val="both"/>
      </w:pPr>
      <w:r w:rsidRPr="00B84CBC">
        <w:rPr>
          <w:rFonts w:ascii="Arial" w:hAnsi="Arial" w:cs="Arial"/>
        </w:rPr>
        <w:t>Vláda bude naplňovat platné významné strategie a koncepční dokumenty, především v oblasti energetiky, klimatu a průmyslu, a bude vycházet z platných rámcových pozic ke klíčovým evropským agendám</w:t>
      </w:r>
      <w:r w:rsidR="00B84CBC">
        <w:rPr>
          <w:rFonts w:ascii="Arial" w:hAnsi="Arial" w:cs="Arial"/>
        </w:rPr>
        <w:t>.</w:t>
      </w:r>
    </w:p>
    <w:p w:rsidR="00C830AE" w:rsidRPr="00B05392" w:rsidRDefault="00C830AE" w:rsidP="00C830AE">
      <w:pPr>
        <w:pStyle w:val="Nadpis2"/>
      </w:pPr>
      <w:r w:rsidRPr="00B05392">
        <w:lastRenderedPageBreak/>
        <w:t>Udržení hospodářského růstu</w:t>
      </w:r>
      <w:bookmarkEnd w:id="0"/>
    </w:p>
    <w:p w:rsidR="00C830AE" w:rsidRDefault="00C830AE" w:rsidP="00C830AE">
      <w:pPr>
        <w:jc w:val="both"/>
        <w:rPr>
          <w:rFonts w:ascii="Arial" w:hAnsi="Arial" w:cs="Arial"/>
          <w:b/>
        </w:rPr>
      </w:pPr>
    </w:p>
    <w:p w:rsidR="00C830AE" w:rsidRPr="00C830AE" w:rsidRDefault="00C830AE" w:rsidP="00C830AE">
      <w:pPr>
        <w:pBdr>
          <w:top w:val="single" w:sz="4" w:space="1" w:color="auto"/>
          <w:left w:val="single" w:sz="4" w:space="4" w:color="auto"/>
          <w:bottom w:val="single" w:sz="4" w:space="1" w:color="auto"/>
          <w:right w:val="single" w:sz="4" w:space="4" w:color="auto"/>
        </w:pBdr>
        <w:jc w:val="center"/>
        <w:rPr>
          <w:rFonts w:ascii="Arial" w:hAnsi="Arial" w:cs="Arial"/>
          <w:b/>
        </w:rPr>
      </w:pPr>
      <w:r w:rsidRPr="00C830AE">
        <w:rPr>
          <w:rFonts w:ascii="Arial" w:hAnsi="Arial" w:cs="Arial"/>
          <w:b/>
        </w:rPr>
        <w:t>CÍL: Efektivní využití investičních prostředků z evropských a národních zdrojů</w:t>
      </w:r>
      <w:r>
        <w:rPr>
          <w:rFonts w:ascii="Arial" w:hAnsi="Arial" w:cs="Arial"/>
          <w:b/>
        </w:rPr>
        <w:t xml:space="preserve"> (INZ)</w:t>
      </w:r>
    </w:p>
    <w:p w:rsidR="00C830AE" w:rsidRPr="00C830AE" w:rsidRDefault="00C830AE" w:rsidP="00C830AE">
      <w:pPr>
        <w:pBdr>
          <w:top w:val="single" w:sz="4" w:space="1" w:color="auto"/>
          <w:left w:val="single" w:sz="4" w:space="4" w:color="auto"/>
          <w:bottom w:val="single" w:sz="4" w:space="1" w:color="auto"/>
          <w:right w:val="single" w:sz="4" w:space="4" w:color="auto"/>
        </w:pBdr>
        <w:jc w:val="center"/>
        <w:rPr>
          <w:rFonts w:ascii="Arial" w:hAnsi="Arial" w:cs="Arial"/>
        </w:rPr>
      </w:pPr>
      <w:r w:rsidRPr="00C830AE">
        <w:rPr>
          <w:rFonts w:ascii="Arial" w:hAnsi="Arial" w:cs="Arial"/>
          <w:i/>
        </w:rPr>
        <w:t>Indikátor: stav čerpání investičních výdajů (MD, MPO, MMR, MŽP)</w:t>
      </w:r>
    </w:p>
    <w:p w:rsidR="00C830AE" w:rsidRPr="00C830AE" w:rsidRDefault="00C830AE" w:rsidP="00C830AE">
      <w:pPr>
        <w:jc w:val="both"/>
        <w:rPr>
          <w:rFonts w:ascii="Arial" w:hAnsi="Arial" w:cs="Arial"/>
        </w:rPr>
      </w:pPr>
      <w:r w:rsidRPr="00C830AE">
        <w:rPr>
          <w:rFonts w:ascii="Arial" w:hAnsi="Arial" w:cs="Arial"/>
        </w:rPr>
        <w:t xml:space="preserve">Klíčovou složkou investičních prostředků byly i v první polovině roku 2017 </w:t>
      </w:r>
      <w:r w:rsidRPr="00C830AE">
        <w:rPr>
          <w:rFonts w:ascii="Arial" w:hAnsi="Arial" w:cs="Arial"/>
          <w:b/>
        </w:rPr>
        <w:t>evropské fondy</w:t>
      </w:r>
      <w:r w:rsidRPr="00C830AE">
        <w:rPr>
          <w:rFonts w:ascii="Arial" w:hAnsi="Arial" w:cs="Arial"/>
        </w:rPr>
        <w:t>, zejména z OPD 2, IROP, OP PIK a OP ŽP.</w:t>
      </w:r>
    </w:p>
    <w:p w:rsidR="00C830AE" w:rsidRPr="00C830AE" w:rsidRDefault="00C830AE" w:rsidP="00C830AE">
      <w:pPr>
        <w:jc w:val="both"/>
        <w:rPr>
          <w:rFonts w:ascii="Arial" w:hAnsi="Arial" w:cs="Arial"/>
        </w:rPr>
      </w:pPr>
      <w:r w:rsidRPr="00C830AE">
        <w:rPr>
          <w:rFonts w:ascii="Arial" w:hAnsi="Arial" w:cs="Arial"/>
          <w:b/>
        </w:rPr>
        <w:t>Investice v dopravě</w:t>
      </w:r>
      <w:r w:rsidRPr="00C830AE">
        <w:rPr>
          <w:rFonts w:ascii="Arial" w:hAnsi="Arial" w:cs="Arial"/>
        </w:rPr>
        <w:t xml:space="preserve"> se k polovině roku dařilo realizovat z 28 %, celkem bylo investováno </w:t>
      </w:r>
      <w:r w:rsidRPr="00C830AE">
        <w:rPr>
          <w:rFonts w:ascii="Arial" w:hAnsi="Arial" w:cs="Arial"/>
          <w:b/>
        </w:rPr>
        <w:t>23 mld. Kč</w:t>
      </w:r>
      <w:r w:rsidRPr="00C830AE">
        <w:rPr>
          <w:rFonts w:ascii="Arial" w:hAnsi="Arial" w:cs="Arial"/>
        </w:rPr>
        <w:t xml:space="preserve"> (16,5 mld. z národních zdrojů a 6,5 mld. z evropských zdrojů). Investice směřovaly především do výstavby silniční a železniční infrastruktury. Schválené investiční výdaje pro rok 2017 představují 81,5 mld. Kč.</w:t>
      </w:r>
    </w:p>
    <w:p w:rsidR="00C830AE" w:rsidRPr="00C830AE" w:rsidRDefault="00C830AE" w:rsidP="00C830AE">
      <w:pPr>
        <w:jc w:val="both"/>
        <w:rPr>
          <w:rFonts w:ascii="Arial" w:hAnsi="Arial" w:cs="Arial"/>
        </w:rPr>
      </w:pPr>
      <w:r w:rsidRPr="00C830AE">
        <w:rPr>
          <w:rFonts w:ascii="Arial" w:hAnsi="Arial" w:cs="Arial"/>
          <w:b/>
        </w:rPr>
        <w:t>V  IROP</w:t>
      </w:r>
      <w:r w:rsidRPr="00C830AE">
        <w:rPr>
          <w:rFonts w:ascii="Arial" w:hAnsi="Arial" w:cs="Arial"/>
        </w:rPr>
        <w:t xml:space="preserve"> bylo k 30. 6. 2017 proplaceno celkem </w:t>
      </w:r>
      <w:r w:rsidRPr="00C830AE">
        <w:rPr>
          <w:rFonts w:ascii="Arial" w:hAnsi="Arial" w:cs="Arial"/>
          <w:b/>
        </w:rPr>
        <w:t>554 mil. Kč.</w:t>
      </w:r>
      <w:r w:rsidRPr="00C830AE">
        <w:rPr>
          <w:rFonts w:ascii="Arial" w:hAnsi="Arial" w:cs="Arial"/>
        </w:rPr>
        <w:t xml:space="preserve"> Celková alokace programu je 125,4 mld. Kč. K 30. 6. 2017 bylo vyhlášeno 75 výzev za 112 mld. Kč.</w:t>
      </w:r>
    </w:p>
    <w:p w:rsidR="00C830AE" w:rsidRPr="00C830AE" w:rsidRDefault="00C830AE" w:rsidP="00C830AE">
      <w:pPr>
        <w:jc w:val="both"/>
        <w:rPr>
          <w:rFonts w:ascii="Arial" w:hAnsi="Arial" w:cs="Arial"/>
        </w:rPr>
      </w:pPr>
      <w:r w:rsidRPr="00C830AE">
        <w:rPr>
          <w:rFonts w:ascii="Arial" w:hAnsi="Arial" w:cs="Arial"/>
        </w:rPr>
        <w:t>V </w:t>
      </w:r>
      <w:r w:rsidRPr="00C830AE">
        <w:rPr>
          <w:rFonts w:ascii="Arial" w:hAnsi="Arial" w:cs="Arial"/>
          <w:b/>
        </w:rPr>
        <w:t>OP PIK</w:t>
      </w:r>
      <w:r w:rsidRPr="00C830AE">
        <w:rPr>
          <w:rFonts w:ascii="Arial" w:hAnsi="Arial" w:cs="Arial"/>
        </w:rPr>
        <w:t xml:space="preserve"> bylo od začátku roku do 30.6.2017 proplaceno celkem </w:t>
      </w:r>
      <w:r w:rsidRPr="00C830AE">
        <w:rPr>
          <w:rFonts w:ascii="Arial" w:hAnsi="Arial" w:cs="Arial"/>
          <w:b/>
        </w:rPr>
        <w:t>1,2 mld. Kč</w:t>
      </w:r>
      <w:r w:rsidRPr="00C830AE">
        <w:rPr>
          <w:rFonts w:ascii="Arial" w:hAnsi="Arial" w:cs="Arial"/>
        </w:rPr>
        <w:t xml:space="preserve"> (971,7 mil. Kč investičních výdajů ERDF + 219,7 tis. Kč SR). Nejvíce investičních prostředků bylo proplaceno v programu Technologie na pořízení nových strojů, technologických zařízení a vybavení, programu Inovace na pořízení výrobních technologií a zařízení pro realizaci projektů navazujících na ukončený výzkum a vývoj a programu Úspory energie na snížení energetické náročnosti podnikatelského sektoru.</w:t>
      </w:r>
    </w:p>
    <w:p w:rsidR="00C830AE" w:rsidRPr="00C830AE" w:rsidRDefault="00C830AE" w:rsidP="00C830AE">
      <w:pPr>
        <w:jc w:val="both"/>
        <w:rPr>
          <w:rFonts w:ascii="Arial" w:hAnsi="Arial" w:cs="Arial"/>
        </w:rPr>
      </w:pPr>
      <w:r w:rsidRPr="00C830AE">
        <w:rPr>
          <w:rFonts w:ascii="Arial" w:hAnsi="Arial" w:cs="Arial"/>
        </w:rPr>
        <w:t xml:space="preserve">Investiční prostředky </w:t>
      </w:r>
      <w:r w:rsidRPr="00C830AE">
        <w:rPr>
          <w:rFonts w:ascii="Arial" w:hAnsi="Arial" w:cs="Arial"/>
          <w:b/>
        </w:rPr>
        <w:t>Ministerstva životního prostředí</w:t>
      </w:r>
      <w:r w:rsidRPr="00C830AE">
        <w:rPr>
          <w:rFonts w:ascii="Arial" w:hAnsi="Arial" w:cs="Arial"/>
        </w:rPr>
        <w:t xml:space="preserve"> jsou naplánovány ve výši 22,3 mld. Kč, skutečné čerpání k 30. 6. 2017 je ve </w:t>
      </w:r>
      <w:r w:rsidRPr="00C830AE">
        <w:rPr>
          <w:rFonts w:ascii="Arial" w:hAnsi="Arial" w:cs="Arial"/>
          <w:b/>
        </w:rPr>
        <w:t>výši 3 mld. Kč</w:t>
      </w:r>
      <w:r w:rsidRPr="00C830AE">
        <w:rPr>
          <w:rFonts w:ascii="Arial" w:hAnsi="Arial" w:cs="Arial"/>
        </w:rPr>
        <w:t>. Největší podíl z této částky tvoří evropské prostředky (2,2 mld. Kč) při spolufinancování z národních prostředků ve výši 139,3 mil. Kč. Ke konci června 2017 bylo z OP ŽP celkem proplaceno 4,5 mld. Kč prostředků EU. Dalších téměř 839 mil. Kč bylo proinvestováno z národních zdrojů, z toho 733 mil. Kč bylo od počátku roku do 30. 6. 2017 proplaceno v rámci programu Nová zelená úsporám.</w:t>
      </w:r>
    </w:p>
    <w:p w:rsidR="00C830AE" w:rsidRPr="00C830AE" w:rsidRDefault="00C830AE" w:rsidP="00C830AE">
      <w:pPr>
        <w:jc w:val="both"/>
        <w:rPr>
          <w:rFonts w:ascii="Arial" w:hAnsi="Arial" w:cs="Arial"/>
        </w:rPr>
      </w:pPr>
      <w:r w:rsidRPr="00C830AE">
        <w:rPr>
          <w:rFonts w:ascii="Arial" w:hAnsi="Arial" w:cs="Arial"/>
        </w:rPr>
        <w:t>Rychlost čerpání prostředků i jejich alokace na konkrétní priority řeší pravidelně Rada ESIF, MMR jako řídící orgán a MF jako platební a certifikační orgán.</w:t>
      </w:r>
    </w:p>
    <w:p w:rsidR="00E70BCD" w:rsidRDefault="00C830AE" w:rsidP="00C830AE">
      <w:pPr>
        <w:jc w:val="both"/>
        <w:rPr>
          <w:rFonts w:ascii="Arial" w:hAnsi="Arial" w:cs="Arial"/>
        </w:rPr>
      </w:pPr>
      <w:r w:rsidRPr="00C830AE">
        <w:rPr>
          <w:rFonts w:ascii="Arial" w:hAnsi="Arial" w:cs="Arial"/>
        </w:rPr>
        <w:t xml:space="preserve">Ačkoliv stav čerpání investičních prostředků nelze hodnotit jako bezproblémový, je možné doložit, že investiční činnost má pozitivní dopad na českou ekonomiku. ČSÚ v odhadu vývoje ekonomiky za 2. čtvrtletí 2017 uvádí, že </w:t>
      </w:r>
      <w:r w:rsidRPr="00C830AE">
        <w:rPr>
          <w:rFonts w:ascii="Arial" w:hAnsi="Arial" w:cs="Arial"/>
          <w:i/>
        </w:rPr>
        <w:t xml:space="preserve">„meziroční i mezičtvrtletní růst investiční aktivity byl ve 2. čtvrtletí podpořen investicemi do všech kategorií aktiv. </w:t>
      </w:r>
      <w:r w:rsidRPr="00C830AE">
        <w:rPr>
          <w:rFonts w:ascii="Arial" w:hAnsi="Arial" w:cs="Arial"/>
          <w:b/>
          <w:i/>
        </w:rPr>
        <w:t>Rostly investice nejen do dopravních prostředků a obydlí, ale velmi silně také do strojů a zařízení, obnovil se i růst investičních výdajů do ostatních budov a staveb</w:t>
      </w:r>
      <w:r w:rsidRPr="00C830AE">
        <w:rPr>
          <w:rFonts w:ascii="Arial" w:hAnsi="Arial" w:cs="Arial"/>
          <w:i/>
        </w:rPr>
        <w:t xml:space="preserve">.“ </w:t>
      </w:r>
      <w:r w:rsidRPr="00C830AE">
        <w:rPr>
          <w:rFonts w:ascii="Arial" w:hAnsi="Arial" w:cs="Arial"/>
        </w:rPr>
        <w:t>Hrubý domácí produkt vzrostl ve srovnání s předchozím čtvrtletím o 2,5 % a meziročně se HDP zvýšil reálně o 4,7 %.</w:t>
      </w:r>
    </w:p>
    <w:p w:rsidR="00C830AE" w:rsidRDefault="00C830AE" w:rsidP="00C830AE">
      <w:pPr>
        <w:jc w:val="both"/>
        <w:rPr>
          <w:rFonts w:ascii="Arial" w:hAnsi="Arial" w:cs="Arial"/>
        </w:rPr>
      </w:pPr>
      <w:r>
        <w:rPr>
          <w:rFonts w:ascii="Arial" w:hAnsi="Arial" w:cs="Arial"/>
        </w:rPr>
        <w:t xml:space="preserve">Splněná opatření: </w:t>
      </w:r>
    </w:p>
    <w:tbl>
      <w:tblPr>
        <w:tblStyle w:val="Mkatabulky"/>
        <w:tblW w:w="0" w:type="auto"/>
        <w:tblLook w:val="04A0"/>
      </w:tblPr>
      <w:tblGrid>
        <w:gridCol w:w="693"/>
        <w:gridCol w:w="742"/>
        <w:gridCol w:w="4091"/>
        <w:gridCol w:w="961"/>
        <w:gridCol w:w="2725"/>
      </w:tblGrid>
      <w:tr w:rsidR="00C830AE" w:rsidTr="00C830AE">
        <w:tc>
          <w:tcPr>
            <w:tcW w:w="693" w:type="dxa"/>
          </w:tcPr>
          <w:p w:rsidR="00C830AE" w:rsidRDefault="00C830AE" w:rsidP="00C830AE">
            <w:pPr>
              <w:jc w:val="both"/>
              <w:rPr>
                <w:rFonts w:ascii="Arial" w:hAnsi="Arial" w:cs="Arial"/>
              </w:rPr>
            </w:pPr>
            <w:r w:rsidRPr="00C830AE">
              <w:rPr>
                <w:rFonts w:ascii="Arial" w:hAnsi="Arial" w:cs="Arial"/>
              </w:rPr>
              <w:t>INZ2</w:t>
            </w:r>
          </w:p>
        </w:tc>
        <w:tc>
          <w:tcPr>
            <w:tcW w:w="742" w:type="dxa"/>
          </w:tcPr>
          <w:p w:rsidR="00C830AE" w:rsidRDefault="00C830AE" w:rsidP="00C830AE">
            <w:pPr>
              <w:jc w:val="both"/>
              <w:rPr>
                <w:rFonts w:ascii="Arial" w:hAnsi="Arial" w:cs="Arial"/>
              </w:rPr>
            </w:pPr>
            <w:r w:rsidRPr="00C830AE">
              <w:rPr>
                <w:rFonts w:ascii="Arial" w:hAnsi="Arial" w:cs="Arial"/>
              </w:rPr>
              <w:t>MMR</w:t>
            </w:r>
          </w:p>
        </w:tc>
        <w:tc>
          <w:tcPr>
            <w:tcW w:w="4091" w:type="dxa"/>
          </w:tcPr>
          <w:p w:rsidR="00C830AE" w:rsidRDefault="00C830AE" w:rsidP="00C830AE">
            <w:pPr>
              <w:jc w:val="both"/>
              <w:rPr>
                <w:rFonts w:ascii="Arial" w:hAnsi="Arial" w:cs="Arial"/>
              </w:rPr>
            </w:pPr>
            <w:r w:rsidRPr="00C830AE">
              <w:rPr>
                <w:rFonts w:ascii="Arial" w:hAnsi="Arial" w:cs="Arial"/>
              </w:rPr>
              <w:t>Předložení Souhrnného akčního plánu pro strukturálně znevýhodněné regiony</w:t>
            </w:r>
          </w:p>
        </w:tc>
        <w:tc>
          <w:tcPr>
            <w:tcW w:w="961" w:type="dxa"/>
          </w:tcPr>
          <w:p w:rsidR="00C830AE" w:rsidRDefault="00C830AE" w:rsidP="00C830AE">
            <w:pPr>
              <w:jc w:val="both"/>
              <w:rPr>
                <w:rFonts w:ascii="Arial" w:hAnsi="Arial" w:cs="Arial"/>
              </w:rPr>
            </w:pPr>
            <w:r w:rsidRPr="00C830AE">
              <w:rPr>
                <w:rFonts w:ascii="Arial" w:hAnsi="Arial" w:cs="Arial"/>
              </w:rPr>
              <w:t>V/2017</w:t>
            </w:r>
            <w:r w:rsidRPr="00C830AE">
              <w:rPr>
                <w:rFonts w:ascii="Arial" w:hAnsi="Arial" w:cs="Arial"/>
              </w:rPr>
              <w:tab/>
            </w:r>
          </w:p>
        </w:tc>
        <w:tc>
          <w:tcPr>
            <w:tcW w:w="2725" w:type="dxa"/>
          </w:tcPr>
          <w:p w:rsidR="00C830AE" w:rsidRPr="00C830AE" w:rsidRDefault="00C830AE" w:rsidP="00C830AE">
            <w:pPr>
              <w:jc w:val="both"/>
              <w:rPr>
                <w:rFonts w:ascii="Arial" w:hAnsi="Arial" w:cs="Arial"/>
              </w:rPr>
            </w:pPr>
            <w:r w:rsidRPr="00C830AE">
              <w:rPr>
                <w:rFonts w:ascii="Arial" w:hAnsi="Arial" w:cs="Arial"/>
              </w:rPr>
              <w:t>Splněno (usnesení vlády č. 503/17)</w:t>
            </w:r>
          </w:p>
          <w:p w:rsidR="00C830AE" w:rsidRDefault="00C830AE" w:rsidP="00C830AE">
            <w:pPr>
              <w:jc w:val="both"/>
              <w:rPr>
                <w:rFonts w:ascii="Arial" w:hAnsi="Arial" w:cs="Arial"/>
              </w:rPr>
            </w:pPr>
          </w:p>
        </w:tc>
      </w:tr>
    </w:tbl>
    <w:p w:rsidR="00C830AE" w:rsidRDefault="00C830AE" w:rsidP="00C830AE">
      <w:pPr>
        <w:jc w:val="both"/>
        <w:rPr>
          <w:rFonts w:ascii="Arial" w:hAnsi="Arial" w:cs="Arial"/>
        </w:rPr>
      </w:pPr>
    </w:p>
    <w:p w:rsidR="000E319C" w:rsidRDefault="000E319C" w:rsidP="00C830AE">
      <w:pPr>
        <w:jc w:val="both"/>
        <w:rPr>
          <w:rFonts w:ascii="Arial" w:hAnsi="Arial" w:cs="Arial"/>
        </w:rPr>
      </w:pPr>
    </w:p>
    <w:p w:rsidR="001F2D81" w:rsidRPr="001F2D81" w:rsidRDefault="001F2D81" w:rsidP="001F2D81">
      <w:pPr>
        <w:pBdr>
          <w:top w:val="single" w:sz="4" w:space="1" w:color="auto"/>
          <w:left w:val="single" w:sz="4" w:space="4" w:color="auto"/>
          <w:bottom w:val="single" w:sz="4" w:space="1" w:color="auto"/>
          <w:right w:val="single" w:sz="4" w:space="4" w:color="auto"/>
        </w:pBdr>
        <w:jc w:val="center"/>
        <w:rPr>
          <w:rFonts w:ascii="Arial" w:hAnsi="Arial" w:cs="Arial"/>
          <w:b/>
        </w:rPr>
      </w:pPr>
      <w:r w:rsidRPr="001F2D81">
        <w:rPr>
          <w:rFonts w:ascii="Arial" w:hAnsi="Arial" w:cs="Arial"/>
          <w:b/>
        </w:rPr>
        <w:lastRenderedPageBreak/>
        <w:t>CÍL: Akcelerace investiční výstavby, tlak na dostavbu infrastruktury (INV)</w:t>
      </w:r>
    </w:p>
    <w:p w:rsidR="001F2D81" w:rsidRPr="001F2D81" w:rsidRDefault="001F2D81" w:rsidP="001F2D81">
      <w:pPr>
        <w:pBdr>
          <w:top w:val="single" w:sz="4" w:space="1" w:color="auto"/>
          <w:left w:val="single" w:sz="4" w:space="4" w:color="auto"/>
          <w:bottom w:val="single" w:sz="4" w:space="1" w:color="auto"/>
          <w:right w:val="single" w:sz="4" w:space="4" w:color="auto"/>
        </w:pBdr>
        <w:jc w:val="center"/>
        <w:rPr>
          <w:rFonts w:ascii="Arial" w:hAnsi="Arial" w:cs="Arial"/>
          <w:i/>
        </w:rPr>
      </w:pPr>
      <w:r w:rsidRPr="001F2D81">
        <w:rPr>
          <w:rFonts w:ascii="Arial" w:hAnsi="Arial" w:cs="Arial"/>
          <w:i/>
        </w:rPr>
        <w:t>Indikátor: počet zahájených a realizovaných staveb v km, počet zahájených projektů na podporu výstavby nebo rekonstrukci sociálních bytů (MD, MMR)</w:t>
      </w:r>
    </w:p>
    <w:p w:rsidR="001F2D81" w:rsidRPr="001F2D81" w:rsidRDefault="001F2D81" w:rsidP="001F2D81">
      <w:pPr>
        <w:jc w:val="both"/>
        <w:rPr>
          <w:rFonts w:ascii="Arial" w:hAnsi="Arial" w:cs="Arial"/>
        </w:rPr>
      </w:pPr>
      <w:r w:rsidRPr="001F2D81">
        <w:rPr>
          <w:rFonts w:ascii="Arial" w:hAnsi="Arial" w:cs="Arial"/>
        </w:rPr>
        <w:t xml:space="preserve">V první polovině roku 2017 pokračoval tlak na posílení výstavby, zejména v oblasti dopravní infrastruktury a na intenzivnější výstavbu a rekonstrukce bydlení. </w:t>
      </w:r>
    </w:p>
    <w:p w:rsidR="005C499F" w:rsidRDefault="001F2D81" w:rsidP="001F2D81">
      <w:pPr>
        <w:jc w:val="both"/>
        <w:rPr>
          <w:rFonts w:ascii="Arial" w:hAnsi="Arial" w:cs="Arial"/>
        </w:rPr>
      </w:pPr>
      <w:r w:rsidRPr="001F2D81">
        <w:rPr>
          <w:rFonts w:ascii="Arial" w:hAnsi="Arial" w:cs="Arial"/>
        </w:rPr>
        <w:t xml:space="preserve">Ministerstvo dopravy, respektive jím řízené investorské organizace v první polovině letošního roku zahájily výstavbu </w:t>
      </w:r>
      <w:r w:rsidRPr="001F2D81">
        <w:rPr>
          <w:rFonts w:ascii="Arial" w:hAnsi="Arial" w:cs="Arial"/>
          <w:b/>
        </w:rPr>
        <w:t>47,84 km silnic a dálnic</w:t>
      </w:r>
      <w:r w:rsidRPr="001F2D81">
        <w:rPr>
          <w:rFonts w:ascii="Arial" w:hAnsi="Arial" w:cs="Arial"/>
        </w:rPr>
        <w:t xml:space="preserve">. Jednoznačně nejdůležitější zahájenou stavbou je úsek </w:t>
      </w:r>
      <w:r w:rsidRPr="001F2D81">
        <w:rPr>
          <w:rFonts w:ascii="Arial" w:hAnsi="Arial" w:cs="Arial"/>
          <w:b/>
        </w:rPr>
        <w:t>D48 mezi Rybím a Rychalticemi</w:t>
      </w:r>
      <w:r w:rsidRPr="001F2D81">
        <w:rPr>
          <w:rFonts w:ascii="Arial" w:hAnsi="Arial" w:cs="Arial"/>
        </w:rPr>
        <w:t xml:space="preserve">, dále byla také zahájena </w:t>
      </w:r>
      <w:r w:rsidRPr="001F2D81">
        <w:rPr>
          <w:rFonts w:ascii="Arial" w:hAnsi="Arial" w:cs="Arial"/>
          <w:b/>
        </w:rPr>
        <w:t xml:space="preserve">modernizace dálnice D1 </w:t>
      </w:r>
      <w:r w:rsidRPr="001F2D81">
        <w:rPr>
          <w:rFonts w:ascii="Arial" w:hAnsi="Arial" w:cs="Arial"/>
        </w:rPr>
        <w:t xml:space="preserve">na dvou úsecích. Mezi významné zahájené železniční stavby patří rekonstrukce </w:t>
      </w:r>
      <w:proofErr w:type="spellStart"/>
      <w:r w:rsidRPr="001F2D81">
        <w:rPr>
          <w:rFonts w:ascii="Arial" w:hAnsi="Arial" w:cs="Arial"/>
          <w:b/>
        </w:rPr>
        <w:t>Negrelliho</w:t>
      </w:r>
      <w:proofErr w:type="spellEnd"/>
      <w:r w:rsidRPr="001F2D81">
        <w:rPr>
          <w:rFonts w:ascii="Arial" w:hAnsi="Arial" w:cs="Arial"/>
          <w:b/>
        </w:rPr>
        <w:t xml:space="preserve"> viaduktu</w:t>
      </w:r>
      <w:r w:rsidRPr="001F2D81">
        <w:rPr>
          <w:rFonts w:ascii="Arial" w:hAnsi="Arial" w:cs="Arial"/>
        </w:rPr>
        <w:t xml:space="preserve">. Oproti tomu </w:t>
      </w:r>
      <w:r w:rsidRPr="005C499F">
        <w:rPr>
          <w:rFonts w:ascii="Arial" w:hAnsi="Arial" w:cs="Arial"/>
          <w:b/>
        </w:rPr>
        <w:t>dokončit se podařilo</w:t>
      </w:r>
      <w:r w:rsidRPr="001F2D81">
        <w:rPr>
          <w:rFonts w:ascii="Arial" w:hAnsi="Arial" w:cs="Arial"/>
        </w:rPr>
        <w:t xml:space="preserve"> </w:t>
      </w:r>
      <w:r w:rsidRPr="005C499F">
        <w:rPr>
          <w:rFonts w:ascii="Arial" w:hAnsi="Arial" w:cs="Arial"/>
          <w:b/>
        </w:rPr>
        <w:t>25,18 km silničních a 170 km železničních staveb</w:t>
      </w:r>
      <w:r w:rsidRPr="001F2D81">
        <w:rPr>
          <w:rFonts w:ascii="Arial" w:hAnsi="Arial" w:cs="Arial"/>
        </w:rPr>
        <w:t xml:space="preserve">.  </w:t>
      </w:r>
    </w:p>
    <w:p w:rsidR="005C499F" w:rsidRDefault="001F2D81" w:rsidP="001F2D81">
      <w:pPr>
        <w:jc w:val="both"/>
        <w:rPr>
          <w:rFonts w:ascii="Arial" w:hAnsi="Arial" w:cs="Arial"/>
        </w:rPr>
      </w:pPr>
      <w:r w:rsidRPr="001F2D81">
        <w:rPr>
          <w:rFonts w:ascii="Arial" w:hAnsi="Arial" w:cs="Arial"/>
        </w:rPr>
        <w:t xml:space="preserve">Je třeba dodat, že se nepodařilo zahájit výstavbu žádného z </w:t>
      </w:r>
      <w:r w:rsidRPr="005C499F">
        <w:rPr>
          <w:rFonts w:ascii="Arial" w:hAnsi="Arial" w:cs="Arial"/>
          <w:b/>
        </w:rPr>
        <w:t>prioritních úseků</w:t>
      </w:r>
      <w:r w:rsidRPr="001F2D81">
        <w:rPr>
          <w:rFonts w:ascii="Arial" w:hAnsi="Arial" w:cs="Arial"/>
        </w:rPr>
        <w:t xml:space="preserve"> ve smyslu nařízení vlády č. 1079/16 o stanovení prioritních dopravních záměrů. Všechny tyto prioritní úseky ale během první poloviny roku získaly </w:t>
      </w:r>
      <w:r w:rsidRPr="005C499F">
        <w:rPr>
          <w:rFonts w:ascii="Arial" w:hAnsi="Arial" w:cs="Arial"/>
          <w:b/>
        </w:rPr>
        <w:t>stanovisko EIA podle § 23a</w:t>
      </w:r>
      <w:r w:rsidRPr="001F2D81">
        <w:rPr>
          <w:rFonts w:ascii="Arial" w:hAnsi="Arial" w:cs="Arial"/>
        </w:rPr>
        <w:t xml:space="preserve">, nyní se řeší především majetkoprávní vypořádání či potřebné archeologické výzkumy. Vláda sleduje stav přípravy těchto staveb a každé dva měsíce dostává aktuální informace o pokroku příprav. </w:t>
      </w:r>
    </w:p>
    <w:p w:rsidR="001F2D81" w:rsidRPr="001F2D81" w:rsidRDefault="001F2D81" w:rsidP="001F2D81">
      <w:pPr>
        <w:jc w:val="both"/>
        <w:rPr>
          <w:rFonts w:ascii="Arial" w:hAnsi="Arial" w:cs="Arial"/>
        </w:rPr>
      </w:pPr>
      <w:r w:rsidRPr="001F2D81">
        <w:rPr>
          <w:rFonts w:ascii="Arial" w:hAnsi="Arial" w:cs="Arial"/>
        </w:rPr>
        <w:t xml:space="preserve">Co se naopak daří, jsou </w:t>
      </w:r>
      <w:r w:rsidRPr="005C499F">
        <w:rPr>
          <w:rFonts w:ascii="Arial" w:hAnsi="Arial" w:cs="Arial"/>
          <w:b/>
        </w:rPr>
        <w:t>investice do oprav silnic II. a III. třídy</w:t>
      </w:r>
      <w:r w:rsidRPr="001F2D81">
        <w:rPr>
          <w:rFonts w:ascii="Arial" w:hAnsi="Arial" w:cs="Arial"/>
        </w:rPr>
        <w:t>. SFDI ve spolupráci s Ministerstvem dopravy vytvořili aktualizaci Pravidel pro poskytování finančních prostředků z rozpočtu SFDI na financování silnic II. a III. třídy ve vlastnictví krajů v roce 2017, která:</w:t>
      </w:r>
    </w:p>
    <w:p w:rsidR="001F2D81" w:rsidRPr="005C499F" w:rsidRDefault="001F2D81" w:rsidP="005C499F">
      <w:pPr>
        <w:pStyle w:val="Odstavecseseznamem"/>
        <w:numPr>
          <w:ilvl w:val="0"/>
          <w:numId w:val="3"/>
        </w:numPr>
        <w:jc w:val="both"/>
        <w:rPr>
          <w:rFonts w:ascii="Arial" w:hAnsi="Arial" w:cs="Arial"/>
        </w:rPr>
      </w:pPr>
      <w:r w:rsidRPr="005C499F">
        <w:rPr>
          <w:rFonts w:ascii="Arial" w:hAnsi="Arial" w:cs="Arial"/>
        </w:rPr>
        <w:t>nově umožňují financování nákladů související s majetkoprávním vypořádáním pozemků pod komunikacemi ve vlastnictví krajů;</w:t>
      </w:r>
    </w:p>
    <w:p w:rsidR="001F2D81" w:rsidRPr="005C499F" w:rsidRDefault="001F2D81" w:rsidP="005C499F">
      <w:pPr>
        <w:pStyle w:val="Odstavecseseznamem"/>
        <w:numPr>
          <w:ilvl w:val="0"/>
          <w:numId w:val="3"/>
        </w:numPr>
        <w:jc w:val="both"/>
        <w:rPr>
          <w:rFonts w:ascii="Arial" w:hAnsi="Arial" w:cs="Arial"/>
        </w:rPr>
      </w:pPr>
      <w:r w:rsidRPr="005C499F">
        <w:rPr>
          <w:rFonts w:ascii="Arial" w:hAnsi="Arial" w:cs="Arial"/>
        </w:rPr>
        <w:t>vyžadují zavedení systému hospodaření s vozovkami;</w:t>
      </w:r>
    </w:p>
    <w:p w:rsidR="001F2D81" w:rsidRPr="005C499F" w:rsidRDefault="001F2D81" w:rsidP="005C499F">
      <w:pPr>
        <w:pStyle w:val="Odstavecseseznamem"/>
        <w:numPr>
          <w:ilvl w:val="0"/>
          <w:numId w:val="3"/>
        </w:numPr>
        <w:jc w:val="both"/>
        <w:rPr>
          <w:rFonts w:ascii="Arial" w:hAnsi="Arial" w:cs="Arial"/>
        </w:rPr>
      </w:pPr>
      <w:r w:rsidRPr="005C499F">
        <w:rPr>
          <w:rFonts w:ascii="Arial" w:hAnsi="Arial" w:cs="Arial"/>
        </w:rPr>
        <w:t>nedovolují financování akcí z prostředků SFDI, pokud mohou být financovány v rámci IROP.</w:t>
      </w:r>
    </w:p>
    <w:p w:rsidR="001F2D81" w:rsidRPr="001F2D81" w:rsidRDefault="001F2D81" w:rsidP="001F2D81">
      <w:pPr>
        <w:jc w:val="both"/>
        <w:rPr>
          <w:rFonts w:ascii="Arial" w:hAnsi="Arial" w:cs="Arial"/>
        </w:rPr>
      </w:pPr>
      <w:r w:rsidRPr="001F2D81">
        <w:rPr>
          <w:rFonts w:ascii="Arial" w:hAnsi="Arial" w:cs="Arial"/>
        </w:rPr>
        <w:t>Finanční prostředky se dělí mezi kraje dle délky komunikací.</w:t>
      </w:r>
    </w:p>
    <w:p w:rsidR="001F2D81" w:rsidRPr="001F2D81" w:rsidRDefault="001F2D81" w:rsidP="001F2D81">
      <w:pPr>
        <w:jc w:val="both"/>
        <w:rPr>
          <w:rFonts w:ascii="Arial" w:hAnsi="Arial" w:cs="Arial"/>
        </w:rPr>
      </w:pPr>
      <w:r w:rsidRPr="001F2D81">
        <w:rPr>
          <w:rFonts w:ascii="Arial" w:hAnsi="Arial" w:cs="Arial"/>
        </w:rPr>
        <w:t>Prostředky SFDI pro tyto investiční akce pocházejí z nevyčerpaných financí SFDI v předcházejícím roce, což v posledních letech umožňuje vyčlenit cca 3 mld. Kč ročně. MD i SFDI upozorňují na to, že tento způsob není z dlouhodobého hlediska systémový.</w:t>
      </w:r>
    </w:p>
    <w:p w:rsidR="001F2D81" w:rsidRPr="001F2D81" w:rsidRDefault="001F2D81" w:rsidP="001F2D81">
      <w:pPr>
        <w:jc w:val="both"/>
        <w:rPr>
          <w:rFonts w:ascii="Arial" w:hAnsi="Arial" w:cs="Arial"/>
        </w:rPr>
      </w:pPr>
      <w:r w:rsidRPr="001F2D81">
        <w:rPr>
          <w:rFonts w:ascii="Arial" w:hAnsi="Arial" w:cs="Arial"/>
        </w:rPr>
        <w:t xml:space="preserve">Co se týče </w:t>
      </w:r>
      <w:r w:rsidRPr="005C499F">
        <w:rPr>
          <w:rFonts w:ascii="Arial" w:hAnsi="Arial" w:cs="Arial"/>
          <w:b/>
        </w:rPr>
        <w:t>bytové výstavby</w:t>
      </w:r>
      <w:r w:rsidRPr="001F2D81">
        <w:rPr>
          <w:rFonts w:ascii="Arial" w:hAnsi="Arial" w:cs="Arial"/>
        </w:rPr>
        <w:t xml:space="preserve">, která je v gesci MMR, hlavními nástroji podpory jsou Integrovaný regionální operační program a aktivity Státního fondu rozvoje bydlení. </w:t>
      </w:r>
    </w:p>
    <w:p w:rsidR="005C499F" w:rsidRDefault="001F2D81" w:rsidP="001F2D81">
      <w:pPr>
        <w:jc w:val="both"/>
        <w:rPr>
          <w:rFonts w:ascii="Arial" w:hAnsi="Arial" w:cs="Arial"/>
        </w:rPr>
      </w:pPr>
      <w:r w:rsidRPr="001F2D81">
        <w:rPr>
          <w:rFonts w:ascii="Arial" w:hAnsi="Arial" w:cs="Arial"/>
        </w:rPr>
        <w:t xml:space="preserve">Indikátor Akčního plánu se soustředí na </w:t>
      </w:r>
      <w:r w:rsidRPr="005C499F">
        <w:rPr>
          <w:rFonts w:ascii="Arial" w:hAnsi="Arial" w:cs="Arial"/>
          <w:b/>
        </w:rPr>
        <w:t>výstavbu sociálního bydlení</w:t>
      </w:r>
      <w:r w:rsidRPr="001F2D81">
        <w:rPr>
          <w:rFonts w:ascii="Arial" w:hAnsi="Arial" w:cs="Arial"/>
        </w:rPr>
        <w:t xml:space="preserve">. </w:t>
      </w:r>
      <w:r w:rsidR="005C499F">
        <w:rPr>
          <w:rFonts w:ascii="Arial" w:hAnsi="Arial" w:cs="Arial"/>
        </w:rPr>
        <w:t>Klíčový zákon, který má vnést pravidla do systému výstavby a užívání sociálního bydlení, schválila vláda dne 8. března 2017. Poslanecká sněmovna PČR jej ale zřejmě nestihne projednat. To však nebrání tomu, aby stát svými stávajícími nástroji podporoval investice do výstavby sociálních bytů.</w:t>
      </w:r>
    </w:p>
    <w:p w:rsidR="001F2D81" w:rsidRPr="001F2D81" w:rsidRDefault="001F2D81" w:rsidP="001F2D81">
      <w:pPr>
        <w:jc w:val="both"/>
        <w:rPr>
          <w:rFonts w:ascii="Arial" w:hAnsi="Arial" w:cs="Arial"/>
        </w:rPr>
      </w:pPr>
      <w:r w:rsidRPr="001F2D81">
        <w:rPr>
          <w:rFonts w:ascii="Arial" w:hAnsi="Arial" w:cs="Arial"/>
        </w:rPr>
        <w:t xml:space="preserve">K 18. srpnu 2017 bylo </w:t>
      </w:r>
      <w:r w:rsidR="005C499F">
        <w:rPr>
          <w:rFonts w:ascii="Arial" w:hAnsi="Arial" w:cs="Arial"/>
        </w:rPr>
        <w:t xml:space="preserve">za tímto účelem </w:t>
      </w:r>
      <w:r w:rsidRPr="001F2D81">
        <w:rPr>
          <w:rFonts w:ascii="Arial" w:hAnsi="Arial" w:cs="Arial"/>
        </w:rPr>
        <w:t>podpořeno 115 projektů za 728 mil. Kč z IROP (ERDF) a z toho ve fyzické realizaci bylo 31 projektů za 171 mil. Kč.</w:t>
      </w:r>
    </w:p>
    <w:p w:rsidR="001F2D81" w:rsidRPr="001F2D81" w:rsidRDefault="001F2D81" w:rsidP="001F2D81">
      <w:pPr>
        <w:jc w:val="both"/>
        <w:rPr>
          <w:rFonts w:ascii="Arial" w:hAnsi="Arial" w:cs="Arial"/>
        </w:rPr>
      </w:pPr>
      <w:r w:rsidRPr="001F2D81">
        <w:rPr>
          <w:rFonts w:ascii="Arial" w:hAnsi="Arial" w:cs="Arial"/>
        </w:rPr>
        <w:t>Z kapitoly MMR, podprogramu Podporované byty (program Podpora bydlení) bylo podpořena výstavba celkem 577 pečovatelských, vstupních bytů nebo komunitních domů seniorů. Celková výše podpory činila 340,6 mil. Kč.</w:t>
      </w:r>
    </w:p>
    <w:p w:rsidR="001F2D81" w:rsidRPr="001F2D81" w:rsidRDefault="001F2D81" w:rsidP="001F2D81">
      <w:pPr>
        <w:jc w:val="both"/>
        <w:rPr>
          <w:rFonts w:ascii="Arial" w:hAnsi="Arial" w:cs="Arial"/>
        </w:rPr>
      </w:pPr>
      <w:r w:rsidRPr="001F2D81">
        <w:rPr>
          <w:rFonts w:ascii="Arial" w:hAnsi="Arial" w:cs="Arial"/>
        </w:rPr>
        <w:lastRenderedPageBreak/>
        <w:t>SFRB poskytuje zvýhodněné úvěry na výstavbu nájemních bytů pro cílovou skupinu senioři 65+, mladí do 30 let, sociálně slabé osoby a osoby se sníženou soběstačností. Program je v roce 2017 otevřen s rozpočtem 320 mil. Kč. Za 1. pololetí 2017 byly uzavřeny 2 úvěrové smlouvy s celkovou výší úvěru 52,9 mil. Kč, celkové investiční výdaje 54,6 mil. Kč. Dokončeno bylo 15 bytů s výší úvěru 9,5 mil. Kč v celkových investičních nákladech 10,5 mil. Kč.</w:t>
      </w:r>
    </w:p>
    <w:p w:rsidR="001F2D81" w:rsidRPr="001F2D81" w:rsidRDefault="001F2D81" w:rsidP="001F2D81">
      <w:pPr>
        <w:jc w:val="both"/>
        <w:rPr>
          <w:rFonts w:ascii="Arial" w:hAnsi="Arial" w:cs="Arial"/>
        </w:rPr>
      </w:pPr>
      <w:r w:rsidRPr="001F2D81">
        <w:rPr>
          <w:rFonts w:ascii="Arial" w:hAnsi="Arial" w:cs="Arial"/>
        </w:rPr>
        <w:t xml:space="preserve">Na problémy s příliš pomalou a komplikovanou výstavbou dálnic a významných staveb má reagovat připravovaná </w:t>
      </w:r>
      <w:r w:rsidRPr="005C499F">
        <w:rPr>
          <w:rFonts w:ascii="Arial" w:hAnsi="Arial" w:cs="Arial"/>
          <w:b/>
        </w:rPr>
        <w:t>komplexní revize stavební legislativy</w:t>
      </w:r>
      <w:r w:rsidRPr="001F2D81">
        <w:rPr>
          <w:rFonts w:ascii="Arial" w:hAnsi="Arial" w:cs="Arial"/>
        </w:rPr>
        <w:t>. MMR se zavázalo do konce září předložit vládě její hlavní východiska.</w:t>
      </w:r>
    </w:p>
    <w:p w:rsidR="00C830AE" w:rsidRDefault="001F2D81" w:rsidP="001F2D81">
      <w:pPr>
        <w:jc w:val="both"/>
        <w:rPr>
          <w:rFonts w:ascii="Arial" w:hAnsi="Arial" w:cs="Arial"/>
        </w:rPr>
      </w:pPr>
      <w:r w:rsidRPr="001F2D81">
        <w:rPr>
          <w:rFonts w:ascii="Arial" w:hAnsi="Arial" w:cs="Arial"/>
        </w:rPr>
        <w:t>Stát tedy podniká aktivní opatření ke zrychlení výstavby dopravní infrastruktury a intenzivnější podpoře výstavby sociálního bydlení, v praxi se ale jejich efekt projevuje až s časovým odstupem. Přesto podle ČSÚ dochází k mírnému zlepšení i v sektoru stavebnictví. Meziročně vzrostla ve druhém čtvrtletí roku 2017 stavební produkce o 8,1 % (po očištění o vliv počtu pracovních dní), na čemž se podílelo hlavně pozemní stavitelství (+7,3 p. b.). Naopak inženýrské stavitelství zaznamenalo meziroční pokles produkce (</w:t>
      </w:r>
      <w:r w:rsidRPr="001F2D81">
        <w:rPr>
          <w:rFonts w:ascii="Arial" w:eastAsia="MS Gothic" w:hAnsi="Arial" w:cs="Arial" w:hint="eastAsia"/>
        </w:rPr>
        <w:t>‑</w:t>
      </w:r>
      <w:r w:rsidRPr="001F2D81">
        <w:rPr>
          <w:rFonts w:ascii="Arial" w:hAnsi="Arial" w:cs="Arial"/>
        </w:rPr>
        <w:t>1,4 p. b.).</w:t>
      </w:r>
    </w:p>
    <w:p w:rsidR="005C499F" w:rsidRDefault="005C499F" w:rsidP="001F2D81">
      <w:pPr>
        <w:jc w:val="both"/>
        <w:rPr>
          <w:rFonts w:ascii="Arial" w:hAnsi="Arial" w:cs="Arial"/>
        </w:rPr>
      </w:pPr>
      <w:r>
        <w:rPr>
          <w:rFonts w:ascii="Arial" w:hAnsi="Arial" w:cs="Arial"/>
        </w:rPr>
        <w:t>Splněná opatření:</w:t>
      </w:r>
    </w:p>
    <w:tbl>
      <w:tblPr>
        <w:tblStyle w:val="Mkatabulky"/>
        <w:tblW w:w="0" w:type="auto"/>
        <w:tblLook w:val="04A0"/>
      </w:tblPr>
      <w:tblGrid>
        <w:gridCol w:w="706"/>
        <w:gridCol w:w="840"/>
        <w:gridCol w:w="4091"/>
        <w:gridCol w:w="992"/>
        <w:gridCol w:w="2659"/>
      </w:tblGrid>
      <w:tr w:rsidR="005C31E5" w:rsidTr="00F172F4">
        <w:tc>
          <w:tcPr>
            <w:tcW w:w="706" w:type="dxa"/>
          </w:tcPr>
          <w:p w:rsidR="005C31E5" w:rsidRDefault="005C31E5" w:rsidP="001F2D81">
            <w:pPr>
              <w:jc w:val="both"/>
              <w:rPr>
                <w:rFonts w:ascii="Arial" w:hAnsi="Arial" w:cs="Arial"/>
              </w:rPr>
            </w:pPr>
            <w:r w:rsidRPr="005C499F">
              <w:rPr>
                <w:rFonts w:ascii="Arial" w:hAnsi="Arial" w:cs="Arial"/>
              </w:rPr>
              <w:t>INV1</w:t>
            </w:r>
          </w:p>
        </w:tc>
        <w:tc>
          <w:tcPr>
            <w:tcW w:w="840" w:type="dxa"/>
          </w:tcPr>
          <w:p w:rsidR="005C31E5" w:rsidRDefault="005C31E5" w:rsidP="001F2D81">
            <w:pPr>
              <w:jc w:val="both"/>
              <w:rPr>
                <w:rFonts w:ascii="Arial" w:hAnsi="Arial" w:cs="Arial"/>
              </w:rPr>
            </w:pPr>
            <w:r w:rsidRPr="005C499F">
              <w:rPr>
                <w:rFonts w:ascii="Arial" w:hAnsi="Arial" w:cs="Arial"/>
              </w:rPr>
              <w:t>MPSV</w:t>
            </w:r>
            <w:r w:rsidRPr="005C499F">
              <w:rPr>
                <w:rFonts w:ascii="Arial" w:hAnsi="Arial" w:cs="Arial"/>
              </w:rPr>
              <w:tab/>
            </w:r>
          </w:p>
        </w:tc>
        <w:tc>
          <w:tcPr>
            <w:tcW w:w="4091" w:type="dxa"/>
          </w:tcPr>
          <w:p w:rsidR="005C31E5" w:rsidRDefault="005C31E5" w:rsidP="001F2D81">
            <w:pPr>
              <w:jc w:val="both"/>
              <w:rPr>
                <w:rFonts w:ascii="Arial" w:hAnsi="Arial" w:cs="Arial"/>
              </w:rPr>
            </w:pPr>
            <w:r w:rsidRPr="005C499F">
              <w:rPr>
                <w:rFonts w:ascii="Arial" w:hAnsi="Arial" w:cs="Arial"/>
              </w:rPr>
              <w:t>Schválení zákona o sociálním bydlení</w:t>
            </w:r>
          </w:p>
        </w:tc>
        <w:tc>
          <w:tcPr>
            <w:tcW w:w="992" w:type="dxa"/>
          </w:tcPr>
          <w:p w:rsidR="005C31E5" w:rsidRDefault="00F172F4" w:rsidP="001F2D81">
            <w:pPr>
              <w:jc w:val="both"/>
              <w:rPr>
                <w:rFonts w:ascii="Arial" w:hAnsi="Arial" w:cs="Arial"/>
              </w:rPr>
            </w:pPr>
            <w:r w:rsidRPr="005C499F">
              <w:rPr>
                <w:rFonts w:ascii="Arial" w:hAnsi="Arial" w:cs="Arial"/>
              </w:rPr>
              <w:t>I/2017</w:t>
            </w:r>
          </w:p>
        </w:tc>
        <w:tc>
          <w:tcPr>
            <w:tcW w:w="2659" w:type="dxa"/>
          </w:tcPr>
          <w:p w:rsidR="005C31E5" w:rsidRDefault="00F172F4" w:rsidP="001F2D81">
            <w:pPr>
              <w:jc w:val="both"/>
              <w:rPr>
                <w:rFonts w:ascii="Arial" w:hAnsi="Arial" w:cs="Arial"/>
              </w:rPr>
            </w:pPr>
            <w:r w:rsidRPr="005C499F">
              <w:rPr>
                <w:rFonts w:ascii="Arial" w:hAnsi="Arial" w:cs="Arial"/>
              </w:rPr>
              <w:t>Splněno na úrovni vlády (usnesení vlády č. 163/17), zákon však Poslanecká sněmovna ČR nestihne projednat.</w:t>
            </w:r>
          </w:p>
        </w:tc>
      </w:tr>
      <w:tr w:rsidR="005C31E5" w:rsidTr="00F172F4">
        <w:tc>
          <w:tcPr>
            <w:tcW w:w="706" w:type="dxa"/>
          </w:tcPr>
          <w:p w:rsidR="005C31E5" w:rsidRDefault="00F172F4" w:rsidP="001F2D81">
            <w:pPr>
              <w:jc w:val="both"/>
              <w:rPr>
                <w:rFonts w:ascii="Arial" w:hAnsi="Arial" w:cs="Arial"/>
              </w:rPr>
            </w:pPr>
            <w:r w:rsidRPr="005C499F">
              <w:rPr>
                <w:rFonts w:ascii="Arial" w:hAnsi="Arial" w:cs="Arial"/>
              </w:rPr>
              <w:t>INV3</w:t>
            </w:r>
          </w:p>
        </w:tc>
        <w:tc>
          <w:tcPr>
            <w:tcW w:w="840" w:type="dxa"/>
          </w:tcPr>
          <w:p w:rsidR="005C31E5" w:rsidRDefault="00F172F4" w:rsidP="001F2D81">
            <w:pPr>
              <w:jc w:val="both"/>
              <w:rPr>
                <w:rFonts w:ascii="Arial" w:hAnsi="Arial" w:cs="Arial"/>
              </w:rPr>
            </w:pPr>
            <w:r w:rsidRPr="005C499F">
              <w:rPr>
                <w:rFonts w:ascii="Arial" w:hAnsi="Arial" w:cs="Arial"/>
              </w:rPr>
              <w:t>MD</w:t>
            </w:r>
          </w:p>
        </w:tc>
        <w:tc>
          <w:tcPr>
            <w:tcW w:w="4091" w:type="dxa"/>
          </w:tcPr>
          <w:p w:rsidR="00F172F4" w:rsidRPr="005C499F" w:rsidRDefault="00F172F4" w:rsidP="00F172F4">
            <w:pPr>
              <w:jc w:val="both"/>
              <w:rPr>
                <w:rFonts w:ascii="Arial" w:hAnsi="Arial" w:cs="Arial"/>
              </w:rPr>
            </w:pPr>
            <w:r w:rsidRPr="005C499F">
              <w:rPr>
                <w:rFonts w:ascii="Arial" w:hAnsi="Arial" w:cs="Arial"/>
              </w:rPr>
              <w:t>Návrh zajištění financování oprav a výstavby silnic II. a III. třídy, zajištění urychlení projektové přípravy a výkupů pozemků, včetně návrhu systémového řešení</w:t>
            </w:r>
            <w:r w:rsidRPr="005C499F">
              <w:rPr>
                <w:rFonts w:ascii="Arial" w:hAnsi="Arial" w:cs="Arial"/>
              </w:rPr>
              <w:tab/>
            </w:r>
          </w:p>
          <w:p w:rsidR="005C31E5" w:rsidRDefault="005C31E5" w:rsidP="001F2D81">
            <w:pPr>
              <w:jc w:val="both"/>
              <w:rPr>
                <w:rFonts w:ascii="Arial" w:hAnsi="Arial" w:cs="Arial"/>
              </w:rPr>
            </w:pPr>
          </w:p>
        </w:tc>
        <w:tc>
          <w:tcPr>
            <w:tcW w:w="992" w:type="dxa"/>
          </w:tcPr>
          <w:p w:rsidR="005C31E5" w:rsidRDefault="00F172F4" w:rsidP="001F2D81">
            <w:pPr>
              <w:jc w:val="both"/>
              <w:rPr>
                <w:rFonts w:ascii="Arial" w:hAnsi="Arial" w:cs="Arial"/>
              </w:rPr>
            </w:pPr>
            <w:r w:rsidRPr="005C499F">
              <w:rPr>
                <w:rFonts w:ascii="Arial" w:hAnsi="Arial" w:cs="Arial"/>
              </w:rPr>
              <w:t>II/2017</w:t>
            </w:r>
            <w:r w:rsidRPr="005C499F">
              <w:rPr>
                <w:rFonts w:ascii="Arial" w:hAnsi="Arial" w:cs="Arial"/>
              </w:rPr>
              <w:tab/>
            </w:r>
          </w:p>
        </w:tc>
        <w:tc>
          <w:tcPr>
            <w:tcW w:w="2659" w:type="dxa"/>
          </w:tcPr>
          <w:p w:rsidR="005C31E5" w:rsidRDefault="00F172F4" w:rsidP="001F2D81">
            <w:pPr>
              <w:jc w:val="both"/>
              <w:rPr>
                <w:rFonts w:ascii="Arial" w:hAnsi="Arial" w:cs="Arial"/>
              </w:rPr>
            </w:pPr>
            <w:r w:rsidRPr="005C499F">
              <w:rPr>
                <w:rFonts w:ascii="Arial" w:hAnsi="Arial" w:cs="Arial"/>
              </w:rPr>
              <w:t>Splněno.</w:t>
            </w:r>
          </w:p>
        </w:tc>
      </w:tr>
    </w:tbl>
    <w:p w:rsidR="005C31E5" w:rsidRDefault="005C31E5" w:rsidP="001F2D81">
      <w:pPr>
        <w:jc w:val="both"/>
        <w:rPr>
          <w:rFonts w:ascii="Arial" w:hAnsi="Arial" w:cs="Arial"/>
        </w:rPr>
      </w:pPr>
    </w:p>
    <w:p w:rsidR="005C499F" w:rsidRDefault="005C499F" w:rsidP="001F2D81">
      <w:pPr>
        <w:jc w:val="both"/>
        <w:rPr>
          <w:rFonts w:ascii="Arial" w:hAnsi="Arial" w:cs="Arial"/>
        </w:rPr>
      </w:pPr>
      <w:r w:rsidRPr="005C499F">
        <w:rPr>
          <w:rFonts w:ascii="Arial" w:hAnsi="Arial" w:cs="Arial"/>
        </w:rPr>
        <w:tab/>
      </w:r>
      <w:r w:rsidRPr="005C499F">
        <w:rPr>
          <w:rFonts w:ascii="Arial" w:hAnsi="Arial" w:cs="Arial"/>
        </w:rPr>
        <w:tab/>
      </w:r>
      <w:r w:rsidRPr="005C499F">
        <w:rPr>
          <w:rFonts w:ascii="Arial" w:hAnsi="Arial" w:cs="Arial"/>
        </w:rPr>
        <w:tab/>
      </w:r>
      <w:r w:rsidRPr="005C499F">
        <w:rPr>
          <w:rFonts w:ascii="Arial" w:hAnsi="Arial" w:cs="Arial"/>
        </w:rPr>
        <w:tab/>
      </w:r>
    </w:p>
    <w:p w:rsidR="005C499F" w:rsidRPr="005C499F" w:rsidRDefault="005C499F" w:rsidP="005C499F">
      <w:pPr>
        <w:jc w:val="both"/>
        <w:rPr>
          <w:rFonts w:ascii="Arial" w:hAnsi="Arial" w:cs="Arial"/>
        </w:rPr>
      </w:pPr>
      <w:r w:rsidRPr="005C499F">
        <w:rPr>
          <w:rFonts w:ascii="Arial" w:hAnsi="Arial" w:cs="Arial"/>
        </w:rPr>
        <w:tab/>
      </w:r>
      <w:r w:rsidRPr="005C499F">
        <w:rPr>
          <w:rFonts w:ascii="Arial" w:hAnsi="Arial" w:cs="Arial"/>
        </w:rPr>
        <w:tab/>
      </w:r>
      <w:r w:rsidRPr="005C499F">
        <w:rPr>
          <w:rFonts w:ascii="Arial" w:hAnsi="Arial" w:cs="Arial"/>
        </w:rPr>
        <w:tab/>
      </w:r>
    </w:p>
    <w:p w:rsidR="005C499F" w:rsidRPr="005C499F" w:rsidRDefault="005C499F" w:rsidP="005C499F">
      <w:pPr>
        <w:jc w:val="both"/>
        <w:rPr>
          <w:rFonts w:ascii="Arial" w:hAnsi="Arial" w:cs="Arial"/>
        </w:rPr>
      </w:pPr>
    </w:p>
    <w:p w:rsidR="005C499F" w:rsidRDefault="005C499F" w:rsidP="001F2D81">
      <w:pPr>
        <w:jc w:val="both"/>
        <w:rPr>
          <w:rFonts w:ascii="Arial" w:hAnsi="Arial" w:cs="Arial"/>
        </w:rPr>
      </w:pPr>
    </w:p>
    <w:p w:rsidR="005C31E5" w:rsidRDefault="005C31E5" w:rsidP="001F2D81">
      <w:pPr>
        <w:jc w:val="both"/>
        <w:rPr>
          <w:rFonts w:ascii="Arial" w:hAnsi="Arial" w:cs="Arial"/>
        </w:rPr>
      </w:pPr>
    </w:p>
    <w:p w:rsidR="005C31E5" w:rsidRDefault="005C31E5" w:rsidP="001F2D81">
      <w:pPr>
        <w:jc w:val="both"/>
        <w:rPr>
          <w:rFonts w:ascii="Arial" w:hAnsi="Arial" w:cs="Arial"/>
        </w:rPr>
      </w:pPr>
    </w:p>
    <w:p w:rsidR="005C31E5" w:rsidRDefault="005C31E5" w:rsidP="001F2D81">
      <w:pPr>
        <w:jc w:val="both"/>
        <w:rPr>
          <w:rFonts w:ascii="Arial" w:hAnsi="Arial" w:cs="Arial"/>
        </w:rPr>
      </w:pPr>
    </w:p>
    <w:p w:rsidR="005C31E5" w:rsidRDefault="005C31E5" w:rsidP="001F2D81">
      <w:pPr>
        <w:jc w:val="both"/>
        <w:rPr>
          <w:rFonts w:ascii="Arial" w:hAnsi="Arial" w:cs="Arial"/>
        </w:rPr>
      </w:pPr>
    </w:p>
    <w:p w:rsidR="005C31E5" w:rsidRDefault="005C31E5" w:rsidP="001F2D81">
      <w:pPr>
        <w:jc w:val="both"/>
        <w:rPr>
          <w:rFonts w:ascii="Arial" w:hAnsi="Arial" w:cs="Arial"/>
        </w:rPr>
      </w:pPr>
    </w:p>
    <w:p w:rsidR="005C31E5" w:rsidRDefault="005C31E5" w:rsidP="001F2D81">
      <w:pPr>
        <w:jc w:val="both"/>
        <w:rPr>
          <w:rFonts w:ascii="Arial" w:hAnsi="Arial" w:cs="Arial"/>
        </w:rPr>
      </w:pPr>
    </w:p>
    <w:p w:rsidR="005C31E5" w:rsidRDefault="005C31E5" w:rsidP="001F2D81">
      <w:pPr>
        <w:jc w:val="both"/>
        <w:rPr>
          <w:rFonts w:ascii="Arial" w:hAnsi="Arial" w:cs="Arial"/>
        </w:rPr>
      </w:pPr>
    </w:p>
    <w:p w:rsidR="005C31E5" w:rsidRPr="005C31E5" w:rsidRDefault="005C31E5" w:rsidP="005C31E5">
      <w:pPr>
        <w:pBdr>
          <w:top w:val="single" w:sz="4" w:space="1" w:color="auto"/>
          <w:left w:val="single" w:sz="4" w:space="4" w:color="auto"/>
          <w:bottom w:val="single" w:sz="4" w:space="1" w:color="auto"/>
          <w:right w:val="single" w:sz="4" w:space="4" w:color="auto"/>
        </w:pBdr>
        <w:jc w:val="center"/>
        <w:rPr>
          <w:rFonts w:ascii="Arial" w:hAnsi="Arial" w:cs="Arial"/>
          <w:b/>
        </w:rPr>
      </w:pPr>
      <w:r w:rsidRPr="005C31E5">
        <w:rPr>
          <w:rFonts w:ascii="Arial" w:hAnsi="Arial" w:cs="Arial"/>
          <w:b/>
        </w:rPr>
        <w:lastRenderedPageBreak/>
        <w:t>CÍL: Investice s vyšší přidanou hodnotou (IPH)</w:t>
      </w:r>
    </w:p>
    <w:p w:rsidR="005C31E5" w:rsidRPr="005C31E5" w:rsidRDefault="005C31E5" w:rsidP="005C31E5">
      <w:pPr>
        <w:pBdr>
          <w:top w:val="single" w:sz="4" w:space="1" w:color="auto"/>
          <w:left w:val="single" w:sz="4" w:space="4" w:color="auto"/>
          <w:bottom w:val="single" w:sz="4" w:space="1" w:color="auto"/>
          <w:right w:val="single" w:sz="4" w:space="4" w:color="auto"/>
        </w:pBdr>
        <w:jc w:val="center"/>
        <w:rPr>
          <w:rFonts w:ascii="Arial" w:hAnsi="Arial" w:cs="Arial"/>
          <w:i/>
        </w:rPr>
      </w:pPr>
      <w:r w:rsidRPr="005C31E5">
        <w:rPr>
          <w:rFonts w:ascii="Arial" w:hAnsi="Arial" w:cs="Arial"/>
          <w:i/>
        </w:rPr>
        <w:t>Indikátor: struktura připravovaných investičních akcí (MPO)</w:t>
      </w:r>
    </w:p>
    <w:p w:rsidR="005C31E5" w:rsidRPr="00314E33" w:rsidRDefault="005C31E5" w:rsidP="005C31E5">
      <w:pPr>
        <w:jc w:val="both"/>
        <w:rPr>
          <w:rFonts w:ascii="Arial" w:hAnsi="Arial" w:cs="Arial"/>
          <w:b/>
        </w:rPr>
      </w:pPr>
      <w:r w:rsidRPr="005C31E5">
        <w:rPr>
          <w:rFonts w:ascii="Arial" w:hAnsi="Arial" w:cs="Arial"/>
        </w:rPr>
        <w:t xml:space="preserve">MPO se v první polovině letošního roku věnovalo především </w:t>
      </w:r>
      <w:r w:rsidRPr="00314E33">
        <w:rPr>
          <w:rFonts w:ascii="Arial" w:hAnsi="Arial" w:cs="Arial"/>
          <w:b/>
        </w:rPr>
        <w:t>vyhodnocení stávajícího systému investičních pobídek</w:t>
      </w:r>
      <w:r w:rsidRPr="005C31E5">
        <w:rPr>
          <w:rFonts w:ascii="Arial" w:hAnsi="Arial" w:cs="Arial"/>
        </w:rPr>
        <w:t xml:space="preserve"> a s ním spojené přípravě východisek pro novelu zákona o investičních pobídkách. V současné době probíhá k tomuto materiálu </w:t>
      </w:r>
      <w:r w:rsidRPr="00314E33">
        <w:rPr>
          <w:rFonts w:ascii="Arial" w:hAnsi="Arial" w:cs="Arial"/>
          <w:b/>
        </w:rPr>
        <w:t>připomínkové řízení</w:t>
      </w:r>
      <w:r w:rsidRPr="005C31E5">
        <w:rPr>
          <w:rFonts w:ascii="Arial" w:hAnsi="Arial" w:cs="Arial"/>
        </w:rPr>
        <w:t xml:space="preserve">. </w:t>
      </w:r>
      <w:r w:rsidRPr="00314E33">
        <w:rPr>
          <w:rFonts w:ascii="Arial" w:hAnsi="Arial" w:cs="Arial"/>
          <w:b/>
        </w:rPr>
        <w:t>Návrh změn bude předložen vládě ve 4. čtvrtletí letošního roku</w:t>
      </w:r>
      <w:r w:rsidRPr="005C31E5">
        <w:rPr>
          <w:rFonts w:ascii="Arial" w:hAnsi="Arial" w:cs="Arial"/>
        </w:rPr>
        <w:t xml:space="preserve">, s novelou zákona o investičních pobídkách by měl počítat plán </w:t>
      </w:r>
      <w:r w:rsidRPr="00314E33">
        <w:rPr>
          <w:rFonts w:ascii="Arial" w:hAnsi="Arial" w:cs="Arial"/>
          <w:b/>
        </w:rPr>
        <w:t>legislativních prací vlády na rok 2018.</w:t>
      </w:r>
    </w:p>
    <w:p w:rsidR="005C31E5" w:rsidRPr="005C31E5" w:rsidRDefault="005C31E5" w:rsidP="005C31E5">
      <w:pPr>
        <w:jc w:val="both"/>
        <w:rPr>
          <w:rFonts w:ascii="Arial" w:hAnsi="Arial" w:cs="Arial"/>
        </w:rPr>
      </w:pPr>
      <w:r w:rsidRPr="005C31E5">
        <w:rPr>
          <w:rFonts w:ascii="Arial" w:hAnsi="Arial" w:cs="Arial"/>
        </w:rPr>
        <w:t>Ze zpracované analýzy vyplývá, že v současnosti se podpora investičních aktivit soustředí především na:</w:t>
      </w:r>
    </w:p>
    <w:p w:rsidR="005C31E5" w:rsidRPr="00314E33" w:rsidRDefault="005C31E5" w:rsidP="00314E33">
      <w:pPr>
        <w:pStyle w:val="Odstavecseseznamem"/>
        <w:numPr>
          <w:ilvl w:val="0"/>
          <w:numId w:val="7"/>
        </w:numPr>
        <w:jc w:val="both"/>
        <w:rPr>
          <w:rFonts w:ascii="Arial" w:hAnsi="Arial" w:cs="Arial"/>
        </w:rPr>
      </w:pPr>
      <w:r w:rsidRPr="00314E33">
        <w:rPr>
          <w:rFonts w:ascii="Arial" w:hAnsi="Arial" w:cs="Arial"/>
        </w:rPr>
        <w:t>zavedení nebo rozšíření výroby v oborech zpracovatelského průmyslu;</w:t>
      </w:r>
    </w:p>
    <w:p w:rsidR="005C31E5" w:rsidRPr="00314E33" w:rsidRDefault="005C31E5" w:rsidP="00314E33">
      <w:pPr>
        <w:pStyle w:val="Odstavecseseznamem"/>
        <w:numPr>
          <w:ilvl w:val="0"/>
          <w:numId w:val="7"/>
        </w:numPr>
        <w:jc w:val="both"/>
        <w:rPr>
          <w:rFonts w:ascii="Arial" w:hAnsi="Arial" w:cs="Arial"/>
        </w:rPr>
      </w:pPr>
      <w:r w:rsidRPr="00314E33">
        <w:rPr>
          <w:rFonts w:ascii="Arial" w:hAnsi="Arial" w:cs="Arial"/>
        </w:rPr>
        <w:t>vybudování nebo rozšíření technologického centra se zaměřením na aplikovaný výzkum, vývoj nebo inovace technicky vyspělých výrobků, technologií a výrobních procesů za účelem použití ve výrobě a zvýšení přidané hodnoty;</w:t>
      </w:r>
    </w:p>
    <w:p w:rsidR="005C31E5" w:rsidRPr="00314E33" w:rsidRDefault="005C31E5" w:rsidP="00314E33">
      <w:pPr>
        <w:pStyle w:val="Odstavecseseznamem"/>
        <w:numPr>
          <w:ilvl w:val="0"/>
          <w:numId w:val="7"/>
        </w:numPr>
        <w:jc w:val="both"/>
        <w:rPr>
          <w:rFonts w:ascii="Arial" w:hAnsi="Arial" w:cs="Arial"/>
        </w:rPr>
      </w:pPr>
      <w:r w:rsidRPr="00314E33">
        <w:rPr>
          <w:rFonts w:ascii="Arial" w:hAnsi="Arial" w:cs="Arial"/>
        </w:rPr>
        <w:t>zahájení nebo rozšíření činnosti centra strategických služeb, což zahrnuje centra pro tvorbu softwaru, opravárenská centra, centra sdílených služeb, datová centra a centra zákaznické podpory.</w:t>
      </w:r>
    </w:p>
    <w:p w:rsidR="005C31E5" w:rsidRDefault="005C31E5" w:rsidP="005C31E5">
      <w:pPr>
        <w:jc w:val="both"/>
        <w:rPr>
          <w:rFonts w:ascii="Arial" w:hAnsi="Arial" w:cs="Arial"/>
        </w:rPr>
      </w:pPr>
      <w:r w:rsidRPr="005C31E5">
        <w:rPr>
          <w:rFonts w:ascii="Arial" w:hAnsi="Arial" w:cs="Arial"/>
        </w:rPr>
        <w:t>Od roku 2012, kdy byla do zákona o investičních pobídkách zavedena podpora technologických center a center strategických služeb, bylo k 31. prosinci 2016 přijato celkem 419 žádostí o podporu, z toho 7 žádostí bylo z oblasti technologických center a 18 z oblasti center strategických služeb.</w:t>
      </w:r>
    </w:p>
    <w:p w:rsidR="005C31E5" w:rsidRDefault="005C31E5" w:rsidP="005C31E5">
      <w:pPr>
        <w:jc w:val="both"/>
        <w:rPr>
          <w:rFonts w:ascii="Arial" w:hAnsi="Arial" w:cs="Arial"/>
        </w:rPr>
      </w:pPr>
      <w:r w:rsidRPr="005C31E5">
        <w:rPr>
          <w:rFonts w:ascii="Arial" w:hAnsi="Arial" w:cs="Arial"/>
        </w:rPr>
        <w:t>Tabulka níže shrnuje přehled podpořených investičních akcí do 31. prosince 2016.</w:t>
      </w:r>
    </w:p>
    <w:tbl>
      <w:tblPr>
        <w:tblStyle w:val="Mkatabulky"/>
        <w:tblW w:w="0" w:type="auto"/>
        <w:tblLook w:val="04A0"/>
      </w:tblPr>
      <w:tblGrid>
        <w:gridCol w:w="1271"/>
        <w:gridCol w:w="1843"/>
        <w:gridCol w:w="1843"/>
        <w:gridCol w:w="1842"/>
        <w:gridCol w:w="1843"/>
      </w:tblGrid>
      <w:tr w:rsidR="005C31E5" w:rsidRPr="001B0951" w:rsidTr="00E70BCD">
        <w:tc>
          <w:tcPr>
            <w:tcW w:w="1271" w:type="dxa"/>
            <w:tcBorders>
              <w:bottom w:val="single" w:sz="12" w:space="0" w:color="auto"/>
            </w:tcBorders>
          </w:tcPr>
          <w:p w:rsidR="005C31E5" w:rsidRPr="001B0951" w:rsidRDefault="005C31E5" w:rsidP="00E70BCD">
            <w:pPr>
              <w:overflowPunct w:val="0"/>
              <w:autoSpaceDE w:val="0"/>
              <w:autoSpaceDN w:val="0"/>
              <w:adjustRightInd w:val="0"/>
              <w:jc w:val="both"/>
              <w:textAlignment w:val="baseline"/>
              <w:rPr>
                <w:rFonts w:ascii="Arial" w:hAnsi="Arial" w:cs="Arial"/>
              </w:rPr>
            </w:pPr>
            <w:r w:rsidRPr="001B0951">
              <w:rPr>
                <w:rFonts w:ascii="Arial" w:hAnsi="Arial" w:cs="Arial"/>
              </w:rPr>
              <w:t>Rok</w:t>
            </w:r>
          </w:p>
        </w:tc>
        <w:tc>
          <w:tcPr>
            <w:tcW w:w="1843" w:type="dxa"/>
            <w:tcBorders>
              <w:bottom w:val="single" w:sz="12" w:space="0" w:color="auto"/>
            </w:tcBorders>
          </w:tcPr>
          <w:p w:rsidR="005C31E5" w:rsidRPr="001B0951" w:rsidRDefault="005C31E5" w:rsidP="00E70BCD">
            <w:pPr>
              <w:overflowPunct w:val="0"/>
              <w:autoSpaceDE w:val="0"/>
              <w:autoSpaceDN w:val="0"/>
              <w:adjustRightInd w:val="0"/>
              <w:jc w:val="both"/>
              <w:textAlignment w:val="baseline"/>
              <w:rPr>
                <w:rFonts w:ascii="Arial" w:hAnsi="Arial" w:cs="Arial"/>
              </w:rPr>
            </w:pPr>
            <w:r w:rsidRPr="001B0951">
              <w:rPr>
                <w:rFonts w:ascii="Arial" w:hAnsi="Arial" w:cs="Arial"/>
              </w:rPr>
              <w:t>Počet vydaných</w:t>
            </w:r>
          </w:p>
          <w:p w:rsidR="005C31E5" w:rsidRPr="001B0951" w:rsidRDefault="005C31E5" w:rsidP="00E70BCD">
            <w:pPr>
              <w:overflowPunct w:val="0"/>
              <w:autoSpaceDE w:val="0"/>
              <w:autoSpaceDN w:val="0"/>
              <w:adjustRightInd w:val="0"/>
              <w:jc w:val="both"/>
              <w:textAlignment w:val="baseline"/>
              <w:rPr>
                <w:rFonts w:ascii="Arial" w:hAnsi="Arial" w:cs="Arial"/>
              </w:rPr>
            </w:pPr>
            <w:r w:rsidRPr="001B0951">
              <w:rPr>
                <w:rFonts w:ascii="Arial" w:hAnsi="Arial" w:cs="Arial"/>
              </w:rPr>
              <w:t xml:space="preserve">rozhodnutí </w:t>
            </w:r>
          </w:p>
          <w:p w:rsidR="005C31E5" w:rsidRPr="001B0951" w:rsidRDefault="005C31E5" w:rsidP="00E70BCD">
            <w:pPr>
              <w:overflowPunct w:val="0"/>
              <w:autoSpaceDE w:val="0"/>
              <w:autoSpaceDN w:val="0"/>
              <w:adjustRightInd w:val="0"/>
              <w:jc w:val="both"/>
              <w:textAlignment w:val="baseline"/>
              <w:rPr>
                <w:rFonts w:ascii="Arial" w:hAnsi="Arial" w:cs="Arial"/>
              </w:rPr>
            </w:pPr>
            <w:r w:rsidRPr="001B0951">
              <w:rPr>
                <w:rFonts w:ascii="Arial" w:hAnsi="Arial" w:cs="Arial"/>
              </w:rPr>
              <w:t>o podpoře</w:t>
            </w:r>
          </w:p>
        </w:tc>
        <w:tc>
          <w:tcPr>
            <w:tcW w:w="1843" w:type="dxa"/>
            <w:tcBorders>
              <w:bottom w:val="single" w:sz="12" w:space="0" w:color="auto"/>
            </w:tcBorders>
          </w:tcPr>
          <w:p w:rsidR="005C31E5" w:rsidRPr="001B0951" w:rsidRDefault="005C31E5" w:rsidP="00E70BCD">
            <w:pPr>
              <w:overflowPunct w:val="0"/>
              <w:autoSpaceDE w:val="0"/>
              <w:autoSpaceDN w:val="0"/>
              <w:adjustRightInd w:val="0"/>
              <w:jc w:val="both"/>
              <w:textAlignment w:val="baseline"/>
              <w:rPr>
                <w:rFonts w:ascii="Arial" w:hAnsi="Arial" w:cs="Arial"/>
              </w:rPr>
            </w:pPr>
            <w:r w:rsidRPr="001B0951">
              <w:rPr>
                <w:rFonts w:ascii="Arial" w:hAnsi="Arial" w:cs="Arial"/>
              </w:rPr>
              <w:t>Výše veřejné</w:t>
            </w:r>
          </w:p>
          <w:p w:rsidR="005C31E5" w:rsidRPr="001B0951" w:rsidRDefault="005C31E5" w:rsidP="00E70BCD">
            <w:pPr>
              <w:overflowPunct w:val="0"/>
              <w:autoSpaceDE w:val="0"/>
              <w:autoSpaceDN w:val="0"/>
              <w:adjustRightInd w:val="0"/>
              <w:jc w:val="both"/>
              <w:textAlignment w:val="baseline"/>
              <w:rPr>
                <w:rFonts w:ascii="Arial" w:hAnsi="Arial" w:cs="Arial"/>
              </w:rPr>
            </w:pPr>
            <w:r w:rsidRPr="001B0951">
              <w:rPr>
                <w:rFonts w:ascii="Arial" w:hAnsi="Arial" w:cs="Arial"/>
              </w:rPr>
              <w:t xml:space="preserve">podpory </w:t>
            </w:r>
          </w:p>
          <w:p w:rsidR="005C31E5" w:rsidRPr="001B0951" w:rsidRDefault="005C31E5" w:rsidP="00E70BCD">
            <w:pPr>
              <w:overflowPunct w:val="0"/>
              <w:autoSpaceDE w:val="0"/>
              <w:autoSpaceDN w:val="0"/>
              <w:adjustRightInd w:val="0"/>
              <w:jc w:val="both"/>
              <w:textAlignment w:val="baseline"/>
              <w:rPr>
                <w:rFonts w:ascii="Arial" w:hAnsi="Arial" w:cs="Arial"/>
                <w:i/>
              </w:rPr>
            </w:pPr>
            <w:r w:rsidRPr="001B0951">
              <w:rPr>
                <w:rFonts w:ascii="Arial" w:hAnsi="Arial" w:cs="Arial"/>
                <w:i/>
              </w:rPr>
              <w:t>(v mil. Kč)</w:t>
            </w:r>
          </w:p>
        </w:tc>
        <w:tc>
          <w:tcPr>
            <w:tcW w:w="1842" w:type="dxa"/>
            <w:tcBorders>
              <w:bottom w:val="single" w:sz="12" w:space="0" w:color="auto"/>
            </w:tcBorders>
          </w:tcPr>
          <w:p w:rsidR="005C31E5" w:rsidRPr="001B0951" w:rsidRDefault="005C31E5" w:rsidP="00E70BCD">
            <w:pPr>
              <w:overflowPunct w:val="0"/>
              <w:autoSpaceDE w:val="0"/>
              <w:autoSpaceDN w:val="0"/>
              <w:adjustRightInd w:val="0"/>
              <w:jc w:val="both"/>
              <w:textAlignment w:val="baseline"/>
              <w:rPr>
                <w:rFonts w:ascii="Arial" w:hAnsi="Arial" w:cs="Arial"/>
              </w:rPr>
            </w:pPr>
            <w:r w:rsidRPr="001B0951">
              <w:rPr>
                <w:rFonts w:ascii="Arial" w:hAnsi="Arial" w:cs="Arial"/>
              </w:rPr>
              <w:t>Výše podpořené</w:t>
            </w:r>
          </w:p>
          <w:p w:rsidR="005C31E5" w:rsidRPr="001B0951" w:rsidRDefault="005C31E5" w:rsidP="00E70BCD">
            <w:pPr>
              <w:overflowPunct w:val="0"/>
              <w:autoSpaceDE w:val="0"/>
              <w:autoSpaceDN w:val="0"/>
              <w:adjustRightInd w:val="0"/>
              <w:jc w:val="both"/>
              <w:textAlignment w:val="baseline"/>
              <w:rPr>
                <w:rFonts w:ascii="Arial" w:hAnsi="Arial" w:cs="Arial"/>
              </w:rPr>
            </w:pPr>
            <w:r w:rsidRPr="001B0951">
              <w:rPr>
                <w:rFonts w:ascii="Arial" w:hAnsi="Arial" w:cs="Arial"/>
              </w:rPr>
              <w:t xml:space="preserve">investice </w:t>
            </w:r>
          </w:p>
          <w:p w:rsidR="005C31E5" w:rsidRPr="001B0951" w:rsidRDefault="005C31E5" w:rsidP="00E70BCD">
            <w:pPr>
              <w:overflowPunct w:val="0"/>
              <w:autoSpaceDE w:val="0"/>
              <w:autoSpaceDN w:val="0"/>
              <w:adjustRightInd w:val="0"/>
              <w:jc w:val="both"/>
              <w:textAlignment w:val="baseline"/>
              <w:rPr>
                <w:rFonts w:ascii="Arial" w:hAnsi="Arial" w:cs="Arial"/>
                <w:i/>
              </w:rPr>
            </w:pPr>
            <w:r w:rsidRPr="001B0951">
              <w:rPr>
                <w:rFonts w:ascii="Arial" w:hAnsi="Arial" w:cs="Arial"/>
                <w:i/>
              </w:rPr>
              <w:t>(v mil. Kč)</w:t>
            </w:r>
          </w:p>
        </w:tc>
        <w:tc>
          <w:tcPr>
            <w:tcW w:w="1843" w:type="dxa"/>
            <w:tcBorders>
              <w:bottom w:val="single" w:sz="12" w:space="0" w:color="auto"/>
            </w:tcBorders>
          </w:tcPr>
          <w:p w:rsidR="005C31E5" w:rsidRPr="001B0951" w:rsidRDefault="005C31E5" w:rsidP="00E70BCD">
            <w:pPr>
              <w:overflowPunct w:val="0"/>
              <w:autoSpaceDE w:val="0"/>
              <w:autoSpaceDN w:val="0"/>
              <w:adjustRightInd w:val="0"/>
              <w:jc w:val="both"/>
              <w:textAlignment w:val="baseline"/>
              <w:rPr>
                <w:rFonts w:ascii="Arial" w:hAnsi="Arial" w:cs="Arial"/>
              </w:rPr>
            </w:pPr>
            <w:r w:rsidRPr="001B0951">
              <w:rPr>
                <w:rFonts w:ascii="Arial" w:hAnsi="Arial" w:cs="Arial"/>
              </w:rPr>
              <w:t>Počet nových</w:t>
            </w:r>
          </w:p>
          <w:p w:rsidR="005C31E5" w:rsidRPr="001B0951" w:rsidRDefault="005C31E5" w:rsidP="00E70BCD">
            <w:pPr>
              <w:overflowPunct w:val="0"/>
              <w:autoSpaceDE w:val="0"/>
              <w:autoSpaceDN w:val="0"/>
              <w:adjustRightInd w:val="0"/>
              <w:jc w:val="both"/>
              <w:textAlignment w:val="baseline"/>
              <w:rPr>
                <w:rFonts w:ascii="Arial" w:hAnsi="Arial" w:cs="Arial"/>
              </w:rPr>
            </w:pPr>
            <w:r w:rsidRPr="001B0951">
              <w:rPr>
                <w:rFonts w:ascii="Arial" w:hAnsi="Arial" w:cs="Arial"/>
              </w:rPr>
              <w:t>pracovních míst</w:t>
            </w:r>
          </w:p>
        </w:tc>
      </w:tr>
      <w:tr w:rsidR="005C31E5" w:rsidRPr="001B0951" w:rsidTr="00E70BCD">
        <w:tc>
          <w:tcPr>
            <w:tcW w:w="1271" w:type="dxa"/>
            <w:tcBorders>
              <w:top w:val="single" w:sz="12" w:space="0" w:color="auto"/>
            </w:tcBorders>
          </w:tcPr>
          <w:p w:rsidR="005C31E5" w:rsidRPr="001B0951" w:rsidRDefault="005C31E5" w:rsidP="00E70BCD">
            <w:pPr>
              <w:overflowPunct w:val="0"/>
              <w:autoSpaceDE w:val="0"/>
              <w:autoSpaceDN w:val="0"/>
              <w:adjustRightInd w:val="0"/>
              <w:jc w:val="both"/>
              <w:textAlignment w:val="baseline"/>
              <w:rPr>
                <w:rFonts w:ascii="Arial" w:hAnsi="Arial" w:cs="Arial"/>
              </w:rPr>
            </w:pPr>
            <w:r w:rsidRPr="001B0951">
              <w:rPr>
                <w:rFonts w:ascii="Arial" w:hAnsi="Arial" w:cs="Arial"/>
              </w:rPr>
              <w:t>2000</w:t>
            </w:r>
          </w:p>
        </w:tc>
        <w:tc>
          <w:tcPr>
            <w:tcW w:w="1843" w:type="dxa"/>
            <w:tcBorders>
              <w:top w:val="single" w:sz="12" w:space="0" w:color="auto"/>
            </w:tcBorders>
          </w:tcPr>
          <w:p w:rsidR="005C31E5" w:rsidRPr="001B0951" w:rsidRDefault="005C31E5" w:rsidP="00E70BCD">
            <w:pPr>
              <w:overflowPunct w:val="0"/>
              <w:autoSpaceDE w:val="0"/>
              <w:autoSpaceDN w:val="0"/>
              <w:adjustRightInd w:val="0"/>
              <w:jc w:val="center"/>
              <w:textAlignment w:val="baseline"/>
              <w:rPr>
                <w:rFonts w:ascii="Arial" w:hAnsi="Arial" w:cs="Arial"/>
              </w:rPr>
            </w:pPr>
            <w:r w:rsidRPr="001B0951">
              <w:rPr>
                <w:rFonts w:ascii="Arial" w:hAnsi="Arial" w:cs="Arial"/>
              </w:rPr>
              <w:t>14</w:t>
            </w:r>
          </w:p>
        </w:tc>
        <w:tc>
          <w:tcPr>
            <w:tcW w:w="1843" w:type="dxa"/>
            <w:tcBorders>
              <w:top w:val="single" w:sz="12" w:space="0" w:color="auto"/>
            </w:tcBorders>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6 825</w:t>
            </w:r>
          </w:p>
        </w:tc>
        <w:tc>
          <w:tcPr>
            <w:tcW w:w="1842" w:type="dxa"/>
            <w:tcBorders>
              <w:top w:val="single" w:sz="12" w:space="0" w:color="auto"/>
            </w:tcBorders>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16 475</w:t>
            </w:r>
          </w:p>
        </w:tc>
        <w:tc>
          <w:tcPr>
            <w:tcW w:w="1843" w:type="dxa"/>
            <w:tcBorders>
              <w:top w:val="single" w:sz="12" w:space="0" w:color="auto"/>
            </w:tcBorders>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2 341</w:t>
            </w:r>
          </w:p>
        </w:tc>
      </w:tr>
      <w:tr w:rsidR="005C31E5" w:rsidRPr="001B0951" w:rsidTr="00E70BCD">
        <w:tc>
          <w:tcPr>
            <w:tcW w:w="1271" w:type="dxa"/>
          </w:tcPr>
          <w:p w:rsidR="005C31E5" w:rsidRPr="001B0951" w:rsidRDefault="005C31E5" w:rsidP="00E70BCD">
            <w:pPr>
              <w:overflowPunct w:val="0"/>
              <w:autoSpaceDE w:val="0"/>
              <w:autoSpaceDN w:val="0"/>
              <w:adjustRightInd w:val="0"/>
              <w:jc w:val="both"/>
              <w:textAlignment w:val="baseline"/>
              <w:rPr>
                <w:rFonts w:ascii="Arial" w:hAnsi="Arial" w:cs="Arial"/>
              </w:rPr>
            </w:pPr>
            <w:r w:rsidRPr="001B0951">
              <w:rPr>
                <w:rFonts w:ascii="Arial" w:hAnsi="Arial" w:cs="Arial"/>
              </w:rPr>
              <w:t>2001</w:t>
            </w:r>
          </w:p>
        </w:tc>
        <w:tc>
          <w:tcPr>
            <w:tcW w:w="1843" w:type="dxa"/>
          </w:tcPr>
          <w:p w:rsidR="005C31E5" w:rsidRPr="001B0951" w:rsidRDefault="005C31E5" w:rsidP="00E70BCD">
            <w:pPr>
              <w:overflowPunct w:val="0"/>
              <w:autoSpaceDE w:val="0"/>
              <w:autoSpaceDN w:val="0"/>
              <w:adjustRightInd w:val="0"/>
              <w:jc w:val="center"/>
              <w:textAlignment w:val="baseline"/>
              <w:rPr>
                <w:rFonts w:ascii="Arial" w:hAnsi="Arial" w:cs="Arial"/>
              </w:rPr>
            </w:pPr>
            <w:r w:rsidRPr="001B0951">
              <w:rPr>
                <w:rFonts w:ascii="Arial" w:hAnsi="Arial" w:cs="Arial"/>
              </w:rPr>
              <w:t>46</w:t>
            </w:r>
          </w:p>
        </w:tc>
        <w:tc>
          <w:tcPr>
            <w:tcW w:w="1843"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21 558</w:t>
            </w:r>
          </w:p>
        </w:tc>
        <w:tc>
          <w:tcPr>
            <w:tcW w:w="1842"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56 396</w:t>
            </w:r>
          </w:p>
        </w:tc>
        <w:tc>
          <w:tcPr>
            <w:tcW w:w="1843"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13 302</w:t>
            </w:r>
          </w:p>
        </w:tc>
      </w:tr>
      <w:tr w:rsidR="005C31E5" w:rsidRPr="001B0951" w:rsidTr="00E70BCD">
        <w:tc>
          <w:tcPr>
            <w:tcW w:w="1271" w:type="dxa"/>
          </w:tcPr>
          <w:p w:rsidR="005C31E5" w:rsidRPr="001B0951" w:rsidRDefault="005C31E5" w:rsidP="00E70BCD">
            <w:pPr>
              <w:overflowPunct w:val="0"/>
              <w:autoSpaceDE w:val="0"/>
              <w:autoSpaceDN w:val="0"/>
              <w:adjustRightInd w:val="0"/>
              <w:jc w:val="both"/>
              <w:textAlignment w:val="baseline"/>
              <w:rPr>
                <w:rFonts w:ascii="Arial" w:hAnsi="Arial" w:cs="Arial"/>
              </w:rPr>
            </w:pPr>
            <w:r w:rsidRPr="001B0951">
              <w:rPr>
                <w:rFonts w:ascii="Arial" w:hAnsi="Arial" w:cs="Arial"/>
              </w:rPr>
              <w:t>2002</w:t>
            </w:r>
          </w:p>
        </w:tc>
        <w:tc>
          <w:tcPr>
            <w:tcW w:w="1843" w:type="dxa"/>
          </w:tcPr>
          <w:p w:rsidR="005C31E5" w:rsidRPr="001B0951" w:rsidRDefault="005C31E5" w:rsidP="00E70BCD">
            <w:pPr>
              <w:overflowPunct w:val="0"/>
              <w:autoSpaceDE w:val="0"/>
              <w:autoSpaceDN w:val="0"/>
              <w:adjustRightInd w:val="0"/>
              <w:jc w:val="center"/>
              <w:textAlignment w:val="baseline"/>
              <w:rPr>
                <w:rFonts w:ascii="Arial" w:hAnsi="Arial" w:cs="Arial"/>
              </w:rPr>
            </w:pPr>
            <w:r w:rsidRPr="001B0951">
              <w:rPr>
                <w:rFonts w:ascii="Arial" w:hAnsi="Arial" w:cs="Arial"/>
              </w:rPr>
              <w:t>38</w:t>
            </w:r>
          </w:p>
        </w:tc>
        <w:tc>
          <w:tcPr>
            <w:tcW w:w="1843"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17 851</w:t>
            </w:r>
          </w:p>
        </w:tc>
        <w:tc>
          <w:tcPr>
            <w:tcW w:w="1842"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45 181</w:t>
            </w:r>
          </w:p>
        </w:tc>
        <w:tc>
          <w:tcPr>
            <w:tcW w:w="1843"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8 244</w:t>
            </w:r>
          </w:p>
        </w:tc>
      </w:tr>
      <w:tr w:rsidR="005C31E5" w:rsidRPr="001B0951" w:rsidTr="00E70BCD">
        <w:tc>
          <w:tcPr>
            <w:tcW w:w="1271" w:type="dxa"/>
          </w:tcPr>
          <w:p w:rsidR="005C31E5" w:rsidRPr="001B0951" w:rsidRDefault="005C31E5" w:rsidP="00E70BCD">
            <w:pPr>
              <w:overflowPunct w:val="0"/>
              <w:autoSpaceDE w:val="0"/>
              <w:autoSpaceDN w:val="0"/>
              <w:adjustRightInd w:val="0"/>
              <w:jc w:val="both"/>
              <w:textAlignment w:val="baseline"/>
              <w:rPr>
                <w:rFonts w:ascii="Arial" w:hAnsi="Arial" w:cs="Arial"/>
              </w:rPr>
            </w:pPr>
            <w:r w:rsidRPr="001B0951">
              <w:rPr>
                <w:rFonts w:ascii="Arial" w:hAnsi="Arial" w:cs="Arial"/>
              </w:rPr>
              <w:t>2003</w:t>
            </w:r>
          </w:p>
        </w:tc>
        <w:tc>
          <w:tcPr>
            <w:tcW w:w="1843" w:type="dxa"/>
          </w:tcPr>
          <w:p w:rsidR="005C31E5" w:rsidRPr="001B0951" w:rsidRDefault="005C31E5" w:rsidP="00E70BCD">
            <w:pPr>
              <w:overflowPunct w:val="0"/>
              <w:autoSpaceDE w:val="0"/>
              <w:autoSpaceDN w:val="0"/>
              <w:adjustRightInd w:val="0"/>
              <w:jc w:val="center"/>
              <w:textAlignment w:val="baseline"/>
              <w:rPr>
                <w:rFonts w:ascii="Arial" w:hAnsi="Arial" w:cs="Arial"/>
              </w:rPr>
            </w:pPr>
            <w:r w:rsidRPr="001B0951">
              <w:rPr>
                <w:rFonts w:ascii="Arial" w:hAnsi="Arial" w:cs="Arial"/>
              </w:rPr>
              <w:t>31</w:t>
            </w:r>
          </w:p>
        </w:tc>
        <w:tc>
          <w:tcPr>
            <w:tcW w:w="1843"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10 957</w:t>
            </w:r>
          </w:p>
        </w:tc>
        <w:tc>
          <w:tcPr>
            <w:tcW w:w="1842"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25 216</w:t>
            </w:r>
          </w:p>
        </w:tc>
        <w:tc>
          <w:tcPr>
            <w:tcW w:w="1843"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10 365</w:t>
            </w:r>
          </w:p>
        </w:tc>
      </w:tr>
      <w:tr w:rsidR="005C31E5" w:rsidRPr="001B0951" w:rsidTr="00E70BCD">
        <w:tc>
          <w:tcPr>
            <w:tcW w:w="1271" w:type="dxa"/>
          </w:tcPr>
          <w:p w:rsidR="005C31E5" w:rsidRPr="001B0951" w:rsidRDefault="005C31E5" w:rsidP="00E70BCD">
            <w:pPr>
              <w:overflowPunct w:val="0"/>
              <w:autoSpaceDE w:val="0"/>
              <w:autoSpaceDN w:val="0"/>
              <w:adjustRightInd w:val="0"/>
              <w:jc w:val="both"/>
              <w:textAlignment w:val="baseline"/>
              <w:rPr>
                <w:rFonts w:ascii="Arial" w:hAnsi="Arial" w:cs="Arial"/>
              </w:rPr>
            </w:pPr>
            <w:r w:rsidRPr="001B0951">
              <w:rPr>
                <w:rFonts w:ascii="Arial" w:hAnsi="Arial" w:cs="Arial"/>
              </w:rPr>
              <w:t>2004</w:t>
            </w:r>
          </w:p>
        </w:tc>
        <w:tc>
          <w:tcPr>
            <w:tcW w:w="1843" w:type="dxa"/>
          </w:tcPr>
          <w:p w:rsidR="005C31E5" w:rsidRPr="001B0951" w:rsidRDefault="005C31E5" w:rsidP="00E70BCD">
            <w:pPr>
              <w:overflowPunct w:val="0"/>
              <w:autoSpaceDE w:val="0"/>
              <w:autoSpaceDN w:val="0"/>
              <w:adjustRightInd w:val="0"/>
              <w:jc w:val="center"/>
              <w:textAlignment w:val="baseline"/>
              <w:rPr>
                <w:rFonts w:ascii="Arial" w:hAnsi="Arial" w:cs="Arial"/>
              </w:rPr>
            </w:pPr>
            <w:r w:rsidRPr="001B0951">
              <w:rPr>
                <w:rFonts w:ascii="Arial" w:hAnsi="Arial" w:cs="Arial"/>
              </w:rPr>
              <w:t>31</w:t>
            </w:r>
          </w:p>
        </w:tc>
        <w:tc>
          <w:tcPr>
            <w:tcW w:w="1843"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15 765</w:t>
            </w:r>
          </w:p>
        </w:tc>
        <w:tc>
          <w:tcPr>
            <w:tcW w:w="1842"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53 579</w:t>
            </w:r>
          </w:p>
        </w:tc>
        <w:tc>
          <w:tcPr>
            <w:tcW w:w="1843"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7 479</w:t>
            </w:r>
          </w:p>
        </w:tc>
      </w:tr>
      <w:tr w:rsidR="005C31E5" w:rsidRPr="001B0951" w:rsidTr="00E70BCD">
        <w:tc>
          <w:tcPr>
            <w:tcW w:w="1271" w:type="dxa"/>
          </w:tcPr>
          <w:p w:rsidR="005C31E5" w:rsidRPr="001B0951" w:rsidRDefault="005C31E5" w:rsidP="00E70BCD">
            <w:pPr>
              <w:overflowPunct w:val="0"/>
              <w:autoSpaceDE w:val="0"/>
              <w:autoSpaceDN w:val="0"/>
              <w:adjustRightInd w:val="0"/>
              <w:jc w:val="both"/>
              <w:textAlignment w:val="baseline"/>
              <w:rPr>
                <w:rFonts w:ascii="Arial" w:hAnsi="Arial" w:cs="Arial"/>
              </w:rPr>
            </w:pPr>
            <w:r w:rsidRPr="001B0951">
              <w:rPr>
                <w:rFonts w:ascii="Arial" w:hAnsi="Arial" w:cs="Arial"/>
              </w:rPr>
              <w:t>2005</w:t>
            </w:r>
          </w:p>
        </w:tc>
        <w:tc>
          <w:tcPr>
            <w:tcW w:w="1843" w:type="dxa"/>
          </w:tcPr>
          <w:p w:rsidR="005C31E5" w:rsidRPr="001B0951" w:rsidRDefault="005C31E5" w:rsidP="00E70BCD">
            <w:pPr>
              <w:overflowPunct w:val="0"/>
              <w:autoSpaceDE w:val="0"/>
              <w:autoSpaceDN w:val="0"/>
              <w:adjustRightInd w:val="0"/>
              <w:jc w:val="center"/>
              <w:textAlignment w:val="baseline"/>
              <w:rPr>
                <w:rFonts w:ascii="Arial" w:hAnsi="Arial" w:cs="Arial"/>
              </w:rPr>
            </w:pPr>
            <w:r w:rsidRPr="001B0951">
              <w:rPr>
                <w:rFonts w:ascii="Arial" w:hAnsi="Arial" w:cs="Arial"/>
              </w:rPr>
              <w:t>57</w:t>
            </w:r>
          </w:p>
        </w:tc>
        <w:tc>
          <w:tcPr>
            <w:tcW w:w="1843"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16 287</w:t>
            </w:r>
          </w:p>
        </w:tc>
        <w:tc>
          <w:tcPr>
            <w:tcW w:w="1842"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39 252</w:t>
            </w:r>
          </w:p>
        </w:tc>
        <w:tc>
          <w:tcPr>
            <w:tcW w:w="1843"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7 637</w:t>
            </w:r>
          </w:p>
        </w:tc>
      </w:tr>
      <w:tr w:rsidR="005C31E5" w:rsidRPr="001B0951" w:rsidTr="00E70BCD">
        <w:tc>
          <w:tcPr>
            <w:tcW w:w="1271" w:type="dxa"/>
          </w:tcPr>
          <w:p w:rsidR="005C31E5" w:rsidRPr="001B0951" w:rsidRDefault="005C31E5" w:rsidP="00E70BCD">
            <w:pPr>
              <w:overflowPunct w:val="0"/>
              <w:autoSpaceDE w:val="0"/>
              <w:autoSpaceDN w:val="0"/>
              <w:adjustRightInd w:val="0"/>
              <w:jc w:val="both"/>
              <w:textAlignment w:val="baseline"/>
              <w:rPr>
                <w:rFonts w:ascii="Arial" w:hAnsi="Arial" w:cs="Arial"/>
              </w:rPr>
            </w:pPr>
            <w:r w:rsidRPr="001B0951">
              <w:rPr>
                <w:rFonts w:ascii="Arial" w:hAnsi="Arial" w:cs="Arial"/>
              </w:rPr>
              <w:t>2006</w:t>
            </w:r>
          </w:p>
        </w:tc>
        <w:tc>
          <w:tcPr>
            <w:tcW w:w="1843" w:type="dxa"/>
          </w:tcPr>
          <w:p w:rsidR="005C31E5" w:rsidRPr="001B0951" w:rsidRDefault="005C31E5" w:rsidP="00E70BCD">
            <w:pPr>
              <w:overflowPunct w:val="0"/>
              <w:autoSpaceDE w:val="0"/>
              <w:autoSpaceDN w:val="0"/>
              <w:adjustRightInd w:val="0"/>
              <w:jc w:val="center"/>
              <w:textAlignment w:val="baseline"/>
              <w:rPr>
                <w:rFonts w:ascii="Arial" w:hAnsi="Arial" w:cs="Arial"/>
              </w:rPr>
            </w:pPr>
            <w:r w:rsidRPr="001B0951">
              <w:rPr>
                <w:rFonts w:ascii="Arial" w:hAnsi="Arial" w:cs="Arial"/>
              </w:rPr>
              <w:t>149</w:t>
            </w:r>
          </w:p>
        </w:tc>
        <w:tc>
          <w:tcPr>
            <w:tcW w:w="1843"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49 528</w:t>
            </w:r>
          </w:p>
        </w:tc>
        <w:tc>
          <w:tcPr>
            <w:tcW w:w="1842"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107 729</w:t>
            </w:r>
          </w:p>
        </w:tc>
        <w:tc>
          <w:tcPr>
            <w:tcW w:w="1843"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30 100</w:t>
            </w:r>
          </w:p>
        </w:tc>
      </w:tr>
      <w:tr w:rsidR="005C31E5" w:rsidRPr="001B0951" w:rsidTr="00E70BCD">
        <w:tc>
          <w:tcPr>
            <w:tcW w:w="1271" w:type="dxa"/>
          </w:tcPr>
          <w:p w:rsidR="005C31E5" w:rsidRPr="001B0951" w:rsidRDefault="005C31E5" w:rsidP="00E70BCD">
            <w:pPr>
              <w:overflowPunct w:val="0"/>
              <w:autoSpaceDE w:val="0"/>
              <w:autoSpaceDN w:val="0"/>
              <w:adjustRightInd w:val="0"/>
              <w:jc w:val="both"/>
              <w:textAlignment w:val="baseline"/>
              <w:rPr>
                <w:rFonts w:ascii="Arial" w:hAnsi="Arial" w:cs="Arial"/>
              </w:rPr>
            </w:pPr>
            <w:r w:rsidRPr="001B0951">
              <w:rPr>
                <w:rFonts w:ascii="Arial" w:hAnsi="Arial" w:cs="Arial"/>
              </w:rPr>
              <w:t>2007</w:t>
            </w:r>
          </w:p>
        </w:tc>
        <w:tc>
          <w:tcPr>
            <w:tcW w:w="1843" w:type="dxa"/>
          </w:tcPr>
          <w:p w:rsidR="005C31E5" w:rsidRPr="001B0951" w:rsidRDefault="005C31E5" w:rsidP="00E70BCD">
            <w:pPr>
              <w:overflowPunct w:val="0"/>
              <w:autoSpaceDE w:val="0"/>
              <w:autoSpaceDN w:val="0"/>
              <w:adjustRightInd w:val="0"/>
              <w:jc w:val="center"/>
              <w:textAlignment w:val="baseline"/>
              <w:rPr>
                <w:rFonts w:ascii="Arial" w:hAnsi="Arial" w:cs="Arial"/>
              </w:rPr>
            </w:pPr>
            <w:r w:rsidRPr="001B0951">
              <w:rPr>
                <w:rFonts w:ascii="Arial" w:hAnsi="Arial" w:cs="Arial"/>
              </w:rPr>
              <w:t>55</w:t>
            </w:r>
          </w:p>
        </w:tc>
        <w:tc>
          <w:tcPr>
            <w:tcW w:w="1843"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11 436</w:t>
            </w:r>
          </w:p>
        </w:tc>
        <w:tc>
          <w:tcPr>
            <w:tcW w:w="1842"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30 903</w:t>
            </w:r>
          </w:p>
        </w:tc>
        <w:tc>
          <w:tcPr>
            <w:tcW w:w="1843"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7 342</w:t>
            </w:r>
          </w:p>
        </w:tc>
      </w:tr>
      <w:tr w:rsidR="005C31E5" w:rsidRPr="001B0951" w:rsidTr="00E70BCD">
        <w:tc>
          <w:tcPr>
            <w:tcW w:w="1271" w:type="dxa"/>
          </w:tcPr>
          <w:p w:rsidR="005C31E5" w:rsidRPr="001B0951" w:rsidRDefault="005C31E5" w:rsidP="00E70BCD">
            <w:pPr>
              <w:overflowPunct w:val="0"/>
              <w:autoSpaceDE w:val="0"/>
              <w:autoSpaceDN w:val="0"/>
              <w:adjustRightInd w:val="0"/>
              <w:jc w:val="both"/>
              <w:textAlignment w:val="baseline"/>
              <w:rPr>
                <w:rFonts w:ascii="Arial" w:hAnsi="Arial" w:cs="Arial"/>
              </w:rPr>
            </w:pPr>
            <w:r w:rsidRPr="001B0951">
              <w:rPr>
                <w:rFonts w:ascii="Arial" w:hAnsi="Arial" w:cs="Arial"/>
              </w:rPr>
              <w:t>2008</w:t>
            </w:r>
          </w:p>
        </w:tc>
        <w:tc>
          <w:tcPr>
            <w:tcW w:w="1843" w:type="dxa"/>
          </w:tcPr>
          <w:p w:rsidR="005C31E5" w:rsidRPr="001B0951" w:rsidRDefault="005C31E5" w:rsidP="00E70BCD">
            <w:pPr>
              <w:overflowPunct w:val="0"/>
              <w:autoSpaceDE w:val="0"/>
              <w:autoSpaceDN w:val="0"/>
              <w:adjustRightInd w:val="0"/>
              <w:jc w:val="center"/>
              <w:textAlignment w:val="baseline"/>
              <w:rPr>
                <w:rFonts w:ascii="Arial" w:hAnsi="Arial" w:cs="Arial"/>
              </w:rPr>
            </w:pPr>
            <w:r w:rsidRPr="001B0951">
              <w:rPr>
                <w:rFonts w:ascii="Arial" w:hAnsi="Arial" w:cs="Arial"/>
              </w:rPr>
              <w:t>114</w:t>
            </w:r>
          </w:p>
        </w:tc>
        <w:tc>
          <w:tcPr>
            <w:tcW w:w="1843"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18 222</w:t>
            </w:r>
          </w:p>
        </w:tc>
        <w:tc>
          <w:tcPr>
            <w:tcW w:w="1842"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87 848</w:t>
            </w:r>
          </w:p>
        </w:tc>
        <w:tc>
          <w:tcPr>
            <w:tcW w:w="1843"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17 356</w:t>
            </w:r>
          </w:p>
        </w:tc>
      </w:tr>
      <w:tr w:rsidR="005C31E5" w:rsidRPr="001B0951" w:rsidTr="00E70BCD">
        <w:tc>
          <w:tcPr>
            <w:tcW w:w="1271" w:type="dxa"/>
          </w:tcPr>
          <w:p w:rsidR="005C31E5" w:rsidRPr="001B0951" w:rsidRDefault="005C31E5" w:rsidP="00E70BCD">
            <w:pPr>
              <w:overflowPunct w:val="0"/>
              <w:autoSpaceDE w:val="0"/>
              <w:autoSpaceDN w:val="0"/>
              <w:adjustRightInd w:val="0"/>
              <w:jc w:val="both"/>
              <w:textAlignment w:val="baseline"/>
              <w:rPr>
                <w:rFonts w:ascii="Arial" w:hAnsi="Arial" w:cs="Arial"/>
              </w:rPr>
            </w:pPr>
            <w:r w:rsidRPr="001B0951">
              <w:rPr>
                <w:rFonts w:ascii="Arial" w:hAnsi="Arial" w:cs="Arial"/>
              </w:rPr>
              <w:t>2009</w:t>
            </w:r>
          </w:p>
        </w:tc>
        <w:tc>
          <w:tcPr>
            <w:tcW w:w="1843" w:type="dxa"/>
          </w:tcPr>
          <w:p w:rsidR="005C31E5" w:rsidRPr="001B0951" w:rsidRDefault="005C31E5" w:rsidP="00E70BCD">
            <w:pPr>
              <w:overflowPunct w:val="0"/>
              <w:autoSpaceDE w:val="0"/>
              <w:autoSpaceDN w:val="0"/>
              <w:adjustRightInd w:val="0"/>
              <w:jc w:val="center"/>
              <w:textAlignment w:val="baseline"/>
              <w:rPr>
                <w:rFonts w:ascii="Arial" w:hAnsi="Arial" w:cs="Arial"/>
              </w:rPr>
            </w:pPr>
            <w:r w:rsidRPr="001B0951">
              <w:rPr>
                <w:rFonts w:ascii="Arial" w:hAnsi="Arial" w:cs="Arial"/>
              </w:rPr>
              <w:t>35</w:t>
            </w:r>
          </w:p>
        </w:tc>
        <w:tc>
          <w:tcPr>
            <w:tcW w:w="1843"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5 143</w:t>
            </w:r>
          </w:p>
        </w:tc>
        <w:tc>
          <w:tcPr>
            <w:tcW w:w="1842"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15 392</w:t>
            </w:r>
          </w:p>
        </w:tc>
        <w:tc>
          <w:tcPr>
            <w:tcW w:w="1843"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8 724</w:t>
            </w:r>
          </w:p>
        </w:tc>
      </w:tr>
      <w:tr w:rsidR="005C31E5" w:rsidRPr="001B0951" w:rsidTr="00E70BCD">
        <w:tc>
          <w:tcPr>
            <w:tcW w:w="1271" w:type="dxa"/>
          </w:tcPr>
          <w:p w:rsidR="005C31E5" w:rsidRPr="001B0951" w:rsidRDefault="005C31E5" w:rsidP="00E70BCD">
            <w:pPr>
              <w:overflowPunct w:val="0"/>
              <w:autoSpaceDE w:val="0"/>
              <w:autoSpaceDN w:val="0"/>
              <w:adjustRightInd w:val="0"/>
              <w:jc w:val="both"/>
              <w:textAlignment w:val="baseline"/>
              <w:rPr>
                <w:rFonts w:ascii="Arial" w:hAnsi="Arial" w:cs="Arial"/>
              </w:rPr>
            </w:pPr>
            <w:r w:rsidRPr="001B0951">
              <w:rPr>
                <w:rFonts w:ascii="Arial" w:hAnsi="Arial" w:cs="Arial"/>
              </w:rPr>
              <w:t>2010</w:t>
            </w:r>
          </w:p>
        </w:tc>
        <w:tc>
          <w:tcPr>
            <w:tcW w:w="1843" w:type="dxa"/>
          </w:tcPr>
          <w:p w:rsidR="005C31E5" w:rsidRPr="001B0951" w:rsidRDefault="005C31E5" w:rsidP="00E70BCD">
            <w:pPr>
              <w:overflowPunct w:val="0"/>
              <w:autoSpaceDE w:val="0"/>
              <w:autoSpaceDN w:val="0"/>
              <w:adjustRightInd w:val="0"/>
              <w:jc w:val="center"/>
              <w:textAlignment w:val="baseline"/>
              <w:rPr>
                <w:rFonts w:ascii="Arial" w:hAnsi="Arial" w:cs="Arial"/>
              </w:rPr>
            </w:pPr>
            <w:r w:rsidRPr="001B0951">
              <w:rPr>
                <w:rFonts w:ascii="Arial" w:hAnsi="Arial" w:cs="Arial"/>
              </w:rPr>
              <w:t>13</w:t>
            </w:r>
          </w:p>
        </w:tc>
        <w:tc>
          <w:tcPr>
            <w:tcW w:w="1843"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1 667</w:t>
            </w:r>
          </w:p>
        </w:tc>
        <w:tc>
          <w:tcPr>
            <w:tcW w:w="1842"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4 879</w:t>
            </w:r>
          </w:p>
        </w:tc>
        <w:tc>
          <w:tcPr>
            <w:tcW w:w="1843"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2 111</w:t>
            </w:r>
          </w:p>
        </w:tc>
      </w:tr>
      <w:tr w:rsidR="005C31E5" w:rsidRPr="001B0951" w:rsidTr="00E70BCD">
        <w:tc>
          <w:tcPr>
            <w:tcW w:w="1271" w:type="dxa"/>
          </w:tcPr>
          <w:p w:rsidR="005C31E5" w:rsidRPr="001B0951" w:rsidRDefault="005C31E5" w:rsidP="00E70BCD">
            <w:pPr>
              <w:overflowPunct w:val="0"/>
              <w:autoSpaceDE w:val="0"/>
              <w:autoSpaceDN w:val="0"/>
              <w:adjustRightInd w:val="0"/>
              <w:jc w:val="both"/>
              <w:textAlignment w:val="baseline"/>
              <w:rPr>
                <w:rFonts w:ascii="Arial" w:hAnsi="Arial" w:cs="Arial"/>
              </w:rPr>
            </w:pPr>
            <w:r w:rsidRPr="001B0951">
              <w:rPr>
                <w:rFonts w:ascii="Arial" w:hAnsi="Arial" w:cs="Arial"/>
              </w:rPr>
              <w:t>2011</w:t>
            </w:r>
          </w:p>
        </w:tc>
        <w:tc>
          <w:tcPr>
            <w:tcW w:w="1843" w:type="dxa"/>
          </w:tcPr>
          <w:p w:rsidR="005C31E5" w:rsidRPr="001B0951" w:rsidRDefault="005C31E5" w:rsidP="00E70BCD">
            <w:pPr>
              <w:overflowPunct w:val="0"/>
              <w:autoSpaceDE w:val="0"/>
              <w:autoSpaceDN w:val="0"/>
              <w:adjustRightInd w:val="0"/>
              <w:jc w:val="center"/>
              <w:textAlignment w:val="baseline"/>
              <w:rPr>
                <w:rFonts w:ascii="Arial" w:hAnsi="Arial" w:cs="Arial"/>
              </w:rPr>
            </w:pPr>
            <w:r w:rsidRPr="001B0951">
              <w:rPr>
                <w:rFonts w:ascii="Arial" w:hAnsi="Arial" w:cs="Arial"/>
              </w:rPr>
              <w:t>24</w:t>
            </w:r>
          </w:p>
        </w:tc>
        <w:tc>
          <w:tcPr>
            <w:tcW w:w="1843"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5 540</w:t>
            </w:r>
          </w:p>
        </w:tc>
        <w:tc>
          <w:tcPr>
            <w:tcW w:w="1842"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16 917</w:t>
            </w:r>
          </w:p>
        </w:tc>
        <w:tc>
          <w:tcPr>
            <w:tcW w:w="1843"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5 027</w:t>
            </w:r>
          </w:p>
        </w:tc>
      </w:tr>
      <w:tr w:rsidR="005C31E5" w:rsidRPr="001B0951" w:rsidTr="00E70BCD">
        <w:tc>
          <w:tcPr>
            <w:tcW w:w="1271" w:type="dxa"/>
          </w:tcPr>
          <w:p w:rsidR="005C31E5" w:rsidRPr="001B0951" w:rsidRDefault="005C31E5" w:rsidP="00E70BCD">
            <w:pPr>
              <w:overflowPunct w:val="0"/>
              <w:autoSpaceDE w:val="0"/>
              <w:autoSpaceDN w:val="0"/>
              <w:adjustRightInd w:val="0"/>
              <w:jc w:val="both"/>
              <w:textAlignment w:val="baseline"/>
              <w:rPr>
                <w:rFonts w:ascii="Arial" w:hAnsi="Arial" w:cs="Arial"/>
              </w:rPr>
            </w:pPr>
            <w:r w:rsidRPr="001B0951">
              <w:rPr>
                <w:rFonts w:ascii="Arial" w:hAnsi="Arial" w:cs="Arial"/>
              </w:rPr>
              <w:t>2012</w:t>
            </w:r>
          </w:p>
        </w:tc>
        <w:tc>
          <w:tcPr>
            <w:tcW w:w="1843" w:type="dxa"/>
          </w:tcPr>
          <w:p w:rsidR="005C31E5" w:rsidRPr="001B0951" w:rsidRDefault="005C31E5" w:rsidP="00E70BCD">
            <w:pPr>
              <w:overflowPunct w:val="0"/>
              <w:autoSpaceDE w:val="0"/>
              <w:autoSpaceDN w:val="0"/>
              <w:adjustRightInd w:val="0"/>
              <w:jc w:val="center"/>
              <w:textAlignment w:val="baseline"/>
              <w:rPr>
                <w:rFonts w:ascii="Arial" w:hAnsi="Arial" w:cs="Arial"/>
              </w:rPr>
            </w:pPr>
            <w:r w:rsidRPr="001B0951">
              <w:rPr>
                <w:rFonts w:ascii="Arial" w:hAnsi="Arial" w:cs="Arial"/>
              </w:rPr>
              <w:t>41</w:t>
            </w:r>
          </w:p>
        </w:tc>
        <w:tc>
          <w:tcPr>
            <w:tcW w:w="1843"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5 259</w:t>
            </w:r>
          </w:p>
        </w:tc>
        <w:tc>
          <w:tcPr>
            <w:tcW w:w="1842"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16 339</w:t>
            </w:r>
          </w:p>
        </w:tc>
        <w:tc>
          <w:tcPr>
            <w:tcW w:w="1843"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3 433</w:t>
            </w:r>
          </w:p>
        </w:tc>
      </w:tr>
      <w:tr w:rsidR="005C31E5" w:rsidRPr="001B0951" w:rsidTr="00E70BCD">
        <w:tc>
          <w:tcPr>
            <w:tcW w:w="1271" w:type="dxa"/>
          </w:tcPr>
          <w:p w:rsidR="005C31E5" w:rsidRPr="001B0951" w:rsidRDefault="005C31E5" w:rsidP="00E70BCD">
            <w:pPr>
              <w:overflowPunct w:val="0"/>
              <w:autoSpaceDE w:val="0"/>
              <w:autoSpaceDN w:val="0"/>
              <w:adjustRightInd w:val="0"/>
              <w:jc w:val="both"/>
              <w:textAlignment w:val="baseline"/>
              <w:rPr>
                <w:rFonts w:ascii="Arial" w:hAnsi="Arial" w:cs="Arial"/>
              </w:rPr>
            </w:pPr>
            <w:r w:rsidRPr="001B0951">
              <w:rPr>
                <w:rFonts w:ascii="Arial" w:hAnsi="Arial" w:cs="Arial"/>
              </w:rPr>
              <w:t>2013</w:t>
            </w:r>
          </w:p>
        </w:tc>
        <w:tc>
          <w:tcPr>
            <w:tcW w:w="1843" w:type="dxa"/>
          </w:tcPr>
          <w:p w:rsidR="005C31E5" w:rsidRPr="001B0951" w:rsidRDefault="005C31E5" w:rsidP="00E70BCD">
            <w:pPr>
              <w:overflowPunct w:val="0"/>
              <w:autoSpaceDE w:val="0"/>
              <w:autoSpaceDN w:val="0"/>
              <w:adjustRightInd w:val="0"/>
              <w:jc w:val="center"/>
              <w:textAlignment w:val="baseline"/>
              <w:rPr>
                <w:rFonts w:ascii="Arial" w:hAnsi="Arial" w:cs="Arial"/>
              </w:rPr>
            </w:pPr>
            <w:r w:rsidRPr="001B0951">
              <w:rPr>
                <w:rFonts w:ascii="Arial" w:hAnsi="Arial" w:cs="Arial"/>
              </w:rPr>
              <w:t>95</w:t>
            </w:r>
          </w:p>
        </w:tc>
        <w:tc>
          <w:tcPr>
            <w:tcW w:w="1843"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14 978</w:t>
            </w:r>
          </w:p>
        </w:tc>
        <w:tc>
          <w:tcPr>
            <w:tcW w:w="1842"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47 001</w:t>
            </w:r>
          </w:p>
        </w:tc>
        <w:tc>
          <w:tcPr>
            <w:tcW w:w="1843"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11 017</w:t>
            </w:r>
          </w:p>
        </w:tc>
      </w:tr>
      <w:tr w:rsidR="005C31E5" w:rsidRPr="001B0951" w:rsidTr="00E70BCD">
        <w:tc>
          <w:tcPr>
            <w:tcW w:w="1271" w:type="dxa"/>
          </w:tcPr>
          <w:p w:rsidR="005C31E5" w:rsidRPr="001B0951" w:rsidRDefault="005C31E5" w:rsidP="00E70BCD">
            <w:pPr>
              <w:overflowPunct w:val="0"/>
              <w:autoSpaceDE w:val="0"/>
              <w:autoSpaceDN w:val="0"/>
              <w:adjustRightInd w:val="0"/>
              <w:jc w:val="both"/>
              <w:textAlignment w:val="baseline"/>
              <w:rPr>
                <w:rFonts w:ascii="Arial" w:hAnsi="Arial" w:cs="Arial"/>
              </w:rPr>
            </w:pPr>
            <w:r w:rsidRPr="001B0951">
              <w:rPr>
                <w:rFonts w:ascii="Arial" w:hAnsi="Arial" w:cs="Arial"/>
              </w:rPr>
              <w:t>2014</w:t>
            </w:r>
          </w:p>
        </w:tc>
        <w:tc>
          <w:tcPr>
            <w:tcW w:w="1843" w:type="dxa"/>
          </w:tcPr>
          <w:p w:rsidR="005C31E5" w:rsidRPr="001B0951" w:rsidRDefault="005C31E5" w:rsidP="00E70BCD">
            <w:pPr>
              <w:overflowPunct w:val="0"/>
              <w:autoSpaceDE w:val="0"/>
              <w:autoSpaceDN w:val="0"/>
              <w:adjustRightInd w:val="0"/>
              <w:jc w:val="center"/>
              <w:textAlignment w:val="baseline"/>
              <w:rPr>
                <w:rFonts w:ascii="Arial" w:hAnsi="Arial" w:cs="Arial"/>
              </w:rPr>
            </w:pPr>
            <w:r w:rsidRPr="001B0951">
              <w:rPr>
                <w:rFonts w:ascii="Arial" w:hAnsi="Arial" w:cs="Arial"/>
              </w:rPr>
              <w:t>149</w:t>
            </w:r>
          </w:p>
        </w:tc>
        <w:tc>
          <w:tcPr>
            <w:tcW w:w="1843"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25 134</w:t>
            </w:r>
          </w:p>
        </w:tc>
        <w:tc>
          <w:tcPr>
            <w:tcW w:w="1842"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78 536</w:t>
            </w:r>
          </w:p>
        </w:tc>
        <w:tc>
          <w:tcPr>
            <w:tcW w:w="1843"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14 673</w:t>
            </w:r>
          </w:p>
        </w:tc>
      </w:tr>
      <w:tr w:rsidR="005C31E5" w:rsidRPr="001B0951" w:rsidTr="00E70BCD">
        <w:tc>
          <w:tcPr>
            <w:tcW w:w="1271" w:type="dxa"/>
          </w:tcPr>
          <w:p w:rsidR="005C31E5" w:rsidRPr="001B0951" w:rsidRDefault="005C31E5" w:rsidP="00E70BCD">
            <w:pPr>
              <w:overflowPunct w:val="0"/>
              <w:autoSpaceDE w:val="0"/>
              <w:autoSpaceDN w:val="0"/>
              <w:adjustRightInd w:val="0"/>
              <w:jc w:val="both"/>
              <w:textAlignment w:val="baseline"/>
              <w:rPr>
                <w:rFonts w:ascii="Arial" w:hAnsi="Arial" w:cs="Arial"/>
              </w:rPr>
            </w:pPr>
            <w:r w:rsidRPr="001B0951">
              <w:rPr>
                <w:rFonts w:ascii="Arial" w:hAnsi="Arial" w:cs="Arial"/>
              </w:rPr>
              <w:t>2015</w:t>
            </w:r>
          </w:p>
        </w:tc>
        <w:tc>
          <w:tcPr>
            <w:tcW w:w="1843" w:type="dxa"/>
          </w:tcPr>
          <w:p w:rsidR="005C31E5" w:rsidRPr="001B0951" w:rsidRDefault="005C31E5" w:rsidP="00E70BCD">
            <w:pPr>
              <w:overflowPunct w:val="0"/>
              <w:autoSpaceDE w:val="0"/>
              <w:autoSpaceDN w:val="0"/>
              <w:adjustRightInd w:val="0"/>
              <w:jc w:val="center"/>
              <w:textAlignment w:val="baseline"/>
              <w:rPr>
                <w:rFonts w:ascii="Arial" w:hAnsi="Arial" w:cs="Arial"/>
              </w:rPr>
            </w:pPr>
            <w:r w:rsidRPr="001B0951">
              <w:rPr>
                <w:rFonts w:ascii="Arial" w:hAnsi="Arial" w:cs="Arial"/>
              </w:rPr>
              <w:t>57</w:t>
            </w:r>
          </w:p>
        </w:tc>
        <w:tc>
          <w:tcPr>
            <w:tcW w:w="1843"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5 023</w:t>
            </w:r>
          </w:p>
        </w:tc>
        <w:tc>
          <w:tcPr>
            <w:tcW w:w="1842"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22 094</w:t>
            </w:r>
          </w:p>
        </w:tc>
        <w:tc>
          <w:tcPr>
            <w:tcW w:w="1843" w:type="dxa"/>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4 178</w:t>
            </w:r>
          </w:p>
        </w:tc>
      </w:tr>
      <w:tr w:rsidR="005C31E5" w:rsidRPr="001B0951" w:rsidTr="00E70BCD">
        <w:tc>
          <w:tcPr>
            <w:tcW w:w="1271" w:type="dxa"/>
            <w:tcBorders>
              <w:bottom w:val="single" w:sz="12" w:space="0" w:color="auto"/>
            </w:tcBorders>
          </w:tcPr>
          <w:p w:rsidR="005C31E5" w:rsidRPr="001B0951" w:rsidRDefault="005C31E5" w:rsidP="00E70BCD">
            <w:pPr>
              <w:overflowPunct w:val="0"/>
              <w:autoSpaceDE w:val="0"/>
              <w:autoSpaceDN w:val="0"/>
              <w:adjustRightInd w:val="0"/>
              <w:jc w:val="both"/>
              <w:textAlignment w:val="baseline"/>
              <w:rPr>
                <w:rFonts w:ascii="Arial" w:hAnsi="Arial" w:cs="Arial"/>
              </w:rPr>
            </w:pPr>
            <w:r w:rsidRPr="001B0951">
              <w:rPr>
                <w:rFonts w:ascii="Arial" w:hAnsi="Arial" w:cs="Arial"/>
              </w:rPr>
              <w:t>2016</w:t>
            </w:r>
          </w:p>
        </w:tc>
        <w:tc>
          <w:tcPr>
            <w:tcW w:w="1843" w:type="dxa"/>
            <w:tcBorders>
              <w:bottom w:val="single" w:sz="12" w:space="0" w:color="auto"/>
            </w:tcBorders>
          </w:tcPr>
          <w:p w:rsidR="005C31E5" w:rsidRPr="001B0951" w:rsidRDefault="005C31E5" w:rsidP="00E70BCD">
            <w:pPr>
              <w:overflowPunct w:val="0"/>
              <w:autoSpaceDE w:val="0"/>
              <w:autoSpaceDN w:val="0"/>
              <w:adjustRightInd w:val="0"/>
              <w:jc w:val="center"/>
              <w:textAlignment w:val="baseline"/>
              <w:rPr>
                <w:rFonts w:ascii="Arial" w:hAnsi="Arial" w:cs="Arial"/>
              </w:rPr>
            </w:pPr>
            <w:r w:rsidRPr="001B0951">
              <w:rPr>
                <w:rFonts w:ascii="Arial" w:hAnsi="Arial" w:cs="Arial"/>
              </w:rPr>
              <w:t>72</w:t>
            </w:r>
          </w:p>
        </w:tc>
        <w:tc>
          <w:tcPr>
            <w:tcW w:w="1843" w:type="dxa"/>
            <w:tcBorders>
              <w:bottom w:val="single" w:sz="12" w:space="0" w:color="auto"/>
            </w:tcBorders>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12 485</w:t>
            </w:r>
          </w:p>
        </w:tc>
        <w:tc>
          <w:tcPr>
            <w:tcW w:w="1842" w:type="dxa"/>
            <w:tcBorders>
              <w:bottom w:val="single" w:sz="12" w:space="0" w:color="auto"/>
            </w:tcBorders>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60 237</w:t>
            </w:r>
          </w:p>
        </w:tc>
        <w:tc>
          <w:tcPr>
            <w:tcW w:w="1843" w:type="dxa"/>
            <w:tcBorders>
              <w:bottom w:val="single" w:sz="12" w:space="0" w:color="auto"/>
            </w:tcBorders>
          </w:tcPr>
          <w:p w:rsidR="005C31E5" w:rsidRPr="001B0951" w:rsidRDefault="005C31E5" w:rsidP="00E70BCD">
            <w:pPr>
              <w:overflowPunct w:val="0"/>
              <w:autoSpaceDE w:val="0"/>
              <w:autoSpaceDN w:val="0"/>
              <w:adjustRightInd w:val="0"/>
              <w:jc w:val="right"/>
              <w:textAlignment w:val="baseline"/>
              <w:rPr>
                <w:rFonts w:ascii="Arial" w:hAnsi="Arial" w:cs="Arial"/>
              </w:rPr>
            </w:pPr>
            <w:r w:rsidRPr="001B0951">
              <w:rPr>
                <w:rFonts w:ascii="Arial" w:hAnsi="Arial" w:cs="Arial"/>
              </w:rPr>
              <w:t>9 866</w:t>
            </w:r>
          </w:p>
        </w:tc>
      </w:tr>
      <w:tr w:rsidR="005C31E5" w:rsidRPr="001B0951" w:rsidTr="00E70BCD">
        <w:tc>
          <w:tcPr>
            <w:tcW w:w="1271" w:type="dxa"/>
            <w:tcBorders>
              <w:top w:val="single" w:sz="12" w:space="0" w:color="auto"/>
            </w:tcBorders>
          </w:tcPr>
          <w:p w:rsidR="005C31E5" w:rsidRPr="001B0951" w:rsidRDefault="005C31E5" w:rsidP="00E70BCD">
            <w:pPr>
              <w:overflowPunct w:val="0"/>
              <w:autoSpaceDE w:val="0"/>
              <w:autoSpaceDN w:val="0"/>
              <w:adjustRightInd w:val="0"/>
              <w:jc w:val="both"/>
              <w:textAlignment w:val="baseline"/>
              <w:rPr>
                <w:rFonts w:ascii="Arial" w:hAnsi="Arial" w:cs="Arial"/>
                <w:b/>
              </w:rPr>
            </w:pPr>
            <w:r w:rsidRPr="001B0951">
              <w:rPr>
                <w:rFonts w:ascii="Arial" w:hAnsi="Arial" w:cs="Arial"/>
                <w:b/>
              </w:rPr>
              <w:t>Celkem</w:t>
            </w:r>
          </w:p>
        </w:tc>
        <w:tc>
          <w:tcPr>
            <w:tcW w:w="1843" w:type="dxa"/>
            <w:tcBorders>
              <w:top w:val="single" w:sz="12" w:space="0" w:color="auto"/>
            </w:tcBorders>
          </w:tcPr>
          <w:p w:rsidR="005C31E5" w:rsidRPr="001B0951" w:rsidRDefault="005C31E5" w:rsidP="00E70BCD">
            <w:pPr>
              <w:overflowPunct w:val="0"/>
              <w:autoSpaceDE w:val="0"/>
              <w:autoSpaceDN w:val="0"/>
              <w:adjustRightInd w:val="0"/>
              <w:jc w:val="center"/>
              <w:textAlignment w:val="baseline"/>
              <w:rPr>
                <w:rFonts w:ascii="Arial" w:hAnsi="Arial" w:cs="Arial"/>
                <w:b/>
              </w:rPr>
            </w:pPr>
            <w:r w:rsidRPr="001B0951">
              <w:rPr>
                <w:rFonts w:ascii="Arial" w:hAnsi="Arial" w:cs="Arial"/>
                <w:b/>
              </w:rPr>
              <w:t>1006</w:t>
            </w:r>
          </w:p>
        </w:tc>
        <w:tc>
          <w:tcPr>
            <w:tcW w:w="1843" w:type="dxa"/>
            <w:tcBorders>
              <w:top w:val="single" w:sz="12" w:space="0" w:color="auto"/>
            </w:tcBorders>
          </w:tcPr>
          <w:p w:rsidR="005C31E5" w:rsidRPr="001B0951" w:rsidRDefault="005C31E5" w:rsidP="00E70BCD">
            <w:pPr>
              <w:overflowPunct w:val="0"/>
              <w:autoSpaceDE w:val="0"/>
              <w:autoSpaceDN w:val="0"/>
              <w:adjustRightInd w:val="0"/>
              <w:jc w:val="right"/>
              <w:textAlignment w:val="baseline"/>
              <w:rPr>
                <w:rFonts w:ascii="Arial" w:hAnsi="Arial" w:cs="Arial"/>
                <w:b/>
              </w:rPr>
            </w:pPr>
            <w:r w:rsidRPr="001B0951">
              <w:rPr>
                <w:rFonts w:ascii="Arial" w:hAnsi="Arial" w:cs="Arial"/>
                <w:b/>
              </w:rPr>
              <w:t>238 270</w:t>
            </w:r>
          </w:p>
        </w:tc>
        <w:tc>
          <w:tcPr>
            <w:tcW w:w="1842" w:type="dxa"/>
            <w:tcBorders>
              <w:top w:val="single" w:sz="12" w:space="0" w:color="auto"/>
            </w:tcBorders>
          </w:tcPr>
          <w:p w:rsidR="005C31E5" w:rsidRPr="001B0951" w:rsidRDefault="005C31E5" w:rsidP="00E70BCD">
            <w:pPr>
              <w:overflowPunct w:val="0"/>
              <w:autoSpaceDE w:val="0"/>
              <w:autoSpaceDN w:val="0"/>
              <w:adjustRightInd w:val="0"/>
              <w:jc w:val="right"/>
              <w:textAlignment w:val="baseline"/>
              <w:rPr>
                <w:rFonts w:ascii="Arial" w:hAnsi="Arial" w:cs="Arial"/>
                <w:b/>
              </w:rPr>
            </w:pPr>
            <w:r w:rsidRPr="001B0951">
              <w:rPr>
                <w:rFonts w:ascii="Arial" w:hAnsi="Arial" w:cs="Arial"/>
                <w:b/>
              </w:rPr>
              <w:t>693 622</w:t>
            </w:r>
          </w:p>
        </w:tc>
        <w:tc>
          <w:tcPr>
            <w:tcW w:w="1843" w:type="dxa"/>
            <w:tcBorders>
              <w:top w:val="single" w:sz="12" w:space="0" w:color="auto"/>
            </w:tcBorders>
          </w:tcPr>
          <w:p w:rsidR="005C31E5" w:rsidRPr="001B0951" w:rsidRDefault="005C31E5" w:rsidP="00E70BCD">
            <w:pPr>
              <w:overflowPunct w:val="0"/>
              <w:autoSpaceDE w:val="0"/>
              <w:autoSpaceDN w:val="0"/>
              <w:adjustRightInd w:val="0"/>
              <w:jc w:val="right"/>
              <w:textAlignment w:val="baseline"/>
              <w:rPr>
                <w:rFonts w:ascii="Arial" w:hAnsi="Arial" w:cs="Arial"/>
                <w:b/>
              </w:rPr>
            </w:pPr>
            <w:r w:rsidRPr="001B0951">
              <w:rPr>
                <w:rFonts w:ascii="Arial" w:hAnsi="Arial" w:cs="Arial"/>
                <w:b/>
              </w:rPr>
              <w:t>160 691</w:t>
            </w:r>
          </w:p>
        </w:tc>
      </w:tr>
    </w:tbl>
    <w:p w:rsidR="005C31E5" w:rsidRPr="005C31E5" w:rsidRDefault="005C31E5" w:rsidP="005C31E5">
      <w:pPr>
        <w:jc w:val="both"/>
        <w:rPr>
          <w:rFonts w:ascii="Arial" w:hAnsi="Arial" w:cs="Arial"/>
        </w:rPr>
      </w:pPr>
    </w:p>
    <w:p w:rsidR="005C31E5" w:rsidRPr="005C31E5" w:rsidRDefault="005C31E5" w:rsidP="005C31E5">
      <w:pPr>
        <w:jc w:val="both"/>
        <w:rPr>
          <w:rFonts w:ascii="Arial" w:hAnsi="Arial" w:cs="Arial"/>
        </w:rPr>
      </w:pPr>
      <w:r w:rsidRPr="005C31E5">
        <w:rPr>
          <w:rFonts w:ascii="Arial" w:hAnsi="Arial" w:cs="Arial"/>
        </w:rPr>
        <w:lastRenderedPageBreak/>
        <w:t>Materiál také uvádí, že do budoucna by měla být podpora přednostně směřována do těchto oblastí:</w:t>
      </w:r>
    </w:p>
    <w:p w:rsidR="005C31E5" w:rsidRPr="00314E33" w:rsidRDefault="005C31E5" w:rsidP="00F172F4">
      <w:pPr>
        <w:pStyle w:val="Odstavecseseznamem"/>
        <w:numPr>
          <w:ilvl w:val="0"/>
          <w:numId w:val="5"/>
        </w:numPr>
        <w:jc w:val="both"/>
        <w:rPr>
          <w:rFonts w:ascii="Arial" w:hAnsi="Arial" w:cs="Arial"/>
          <w:b/>
        </w:rPr>
      </w:pPr>
      <w:r w:rsidRPr="00314E33">
        <w:rPr>
          <w:rFonts w:ascii="Arial" w:hAnsi="Arial" w:cs="Arial"/>
          <w:b/>
        </w:rPr>
        <w:t>zvýšená podpora investičních projektů s vysokou přidanou hodnotou,</w:t>
      </w:r>
    </w:p>
    <w:p w:rsidR="005C31E5" w:rsidRPr="00314E33" w:rsidRDefault="005C31E5" w:rsidP="00F172F4">
      <w:pPr>
        <w:pStyle w:val="Odstavecseseznamem"/>
        <w:numPr>
          <w:ilvl w:val="0"/>
          <w:numId w:val="5"/>
        </w:numPr>
        <w:jc w:val="both"/>
        <w:rPr>
          <w:rFonts w:ascii="Arial" w:hAnsi="Arial" w:cs="Arial"/>
          <w:b/>
        </w:rPr>
      </w:pPr>
      <w:r w:rsidRPr="00314E33">
        <w:rPr>
          <w:rFonts w:ascii="Arial" w:hAnsi="Arial" w:cs="Arial"/>
          <w:b/>
        </w:rPr>
        <w:t>přednostní podpora hospodářsky problémových regionů a regionů s vysokou mírou nezaměstnanosti,</w:t>
      </w:r>
    </w:p>
    <w:p w:rsidR="005C31E5" w:rsidRDefault="005C31E5" w:rsidP="00F172F4">
      <w:pPr>
        <w:pStyle w:val="Odstavecseseznamem"/>
        <w:numPr>
          <w:ilvl w:val="0"/>
          <w:numId w:val="5"/>
        </w:numPr>
        <w:jc w:val="both"/>
        <w:rPr>
          <w:rFonts w:ascii="Arial" w:hAnsi="Arial" w:cs="Arial"/>
          <w:b/>
        </w:rPr>
      </w:pPr>
      <w:r w:rsidRPr="00314E33">
        <w:rPr>
          <w:rFonts w:ascii="Arial" w:hAnsi="Arial" w:cs="Arial"/>
          <w:b/>
        </w:rPr>
        <w:t>zvýhodnění malých a středních podniků v systému investičních pobídek</w:t>
      </w:r>
    </w:p>
    <w:p w:rsidR="00314E33" w:rsidRPr="00314E33" w:rsidRDefault="00314E33" w:rsidP="00314E33">
      <w:pPr>
        <w:jc w:val="both"/>
        <w:rPr>
          <w:rFonts w:ascii="Arial" w:hAnsi="Arial" w:cs="Arial"/>
        </w:rPr>
      </w:pPr>
      <w:r w:rsidRPr="00314E33">
        <w:rPr>
          <w:rFonts w:ascii="Arial" w:hAnsi="Arial" w:cs="Arial"/>
        </w:rPr>
        <w:t>Splněná opatření:</w:t>
      </w:r>
    </w:p>
    <w:tbl>
      <w:tblPr>
        <w:tblStyle w:val="Mkatabulky"/>
        <w:tblW w:w="0" w:type="auto"/>
        <w:tblLook w:val="04A0"/>
      </w:tblPr>
      <w:tblGrid>
        <w:gridCol w:w="817"/>
        <w:gridCol w:w="718"/>
        <w:gridCol w:w="3991"/>
        <w:gridCol w:w="975"/>
        <w:gridCol w:w="2711"/>
      </w:tblGrid>
      <w:tr w:rsidR="00F172F4" w:rsidTr="00F172F4">
        <w:tc>
          <w:tcPr>
            <w:tcW w:w="817" w:type="dxa"/>
          </w:tcPr>
          <w:p w:rsidR="00F172F4" w:rsidRDefault="00F172F4" w:rsidP="001F2D81">
            <w:pPr>
              <w:jc w:val="both"/>
              <w:rPr>
                <w:rFonts w:ascii="Arial" w:hAnsi="Arial" w:cs="Arial"/>
              </w:rPr>
            </w:pPr>
            <w:r w:rsidRPr="005C31E5">
              <w:rPr>
                <w:rFonts w:ascii="Arial" w:hAnsi="Arial" w:cs="Arial"/>
              </w:rPr>
              <w:t>IPH1</w:t>
            </w:r>
          </w:p>
        </w:tc>
        <w:tc>
          <w:tcPr>
            <w:tcW w:w="718" w:type="dxa"/>
          </w:tcPr>
          <w:p w:rsidR="00F172F4" w:rsidRDefault="00F172F4" w:rsidP="001F2D81">
            <w:pPr>
              <w:jc w:val="both"/>
              <w:rPr>
                <w:rFonts w:ascii="Arial" w:hAnsi="Arial" w:cs="Arial"/>
              </w:rPr>
            </w:pPr>
            <w:r w:rsidRPr="005C31E5">
              <w:rPr>
                <w:rFonts w:ascii="Arial" w:hAnsi="Arial" w:cs="Arial"/>
              </w:rPr>
              <w:t>MPO</w:t>
            </w:r>
            <w:r w:rsidRPr="005C31E5">
              <w:rPr>
                <w:rFonts w:ascii="Arial" w:hAnsi="Arial" w:cs="Arial"/>
              </w:rPr>
              <w:tab/>
            </w:r>
          </w:p>
        </w:tc>
        <w:tc>
          <w:tcPr>
            <w:tcW w:w="3991" w:type="dxa"/>
          </w:tcPr>
          <w:p w:rsidR="00F172F4" w:rsidRDefault="00F172F4" w:rsidP="001F2D81">
            <w:pPr>
              <w:jc w:val="both"/>
              <w:rPr>
                <w:rFonts w:ascii="Arial" w:hAnsi="Arial" w:cs="Arial"/>
              </w:rPr>
            </w:pPr>
            <w:r w:rsidRPr="005C31E5">
              <w:rPr>
                <w:rFonts w:ascii="Arial" w:hAnsi="Arial" w:cs="Arial"/>
              </w:rPr>
              <w:t>Analýza stávajícího systému a podmínek pro nové směřování investičních pobídek, včetně návrhu dalších opatření.</w:t>
            </w:r>
          </w:p>
        </w:tc>
        <w:tc>
          <w:tcPr>
            <w:tcW w:w="975" w:type="dxa"/>
          </w:tcPr>
          <w:p w:rsidR="00F172F4" w:rsidRDefault="00F172F4" w:rsidP="001F2D81">
            <w:pPr>
              <w:jc w:val="both"/>
              <w:rPr>
                <w:rFonts w:ascii="Arial" w:hAnsi="Arial" w:cs="Arial"/>
              </w:rPr>
            </w:pPr>
            <w:r w:rsidRPr="005C31E5">
              <w:rPr>
                <w:rFonts w:ascii="Arial" w:hAnsi="Arial" w:cs="Arial"/>
              </w:rPr>
              <w:t>IV/2017</w:t>
            </w:r>
          </w:p>
        </w:tc>
        <w:tc>
          <w:tcPr>
            <w:tcW w:w="2711" w:type="dxa"/>
          </w:tcPr>
          <w:p w:rsidR="00F172F4" w:rsidRPr="005C31E5" w:rsidRDefault="00F172F4" w:rsidP="00F172F4">
            <w:pPr>
              <w:jc w:val="both"/>
              <w:rPr>
                <w:rFonts w:ascii="Arial" w:hAnsi="Arial" w:cs="Arial"/>
              </w:rPr>
            </w:pPr>
            <w:r w:rsidRPr="005C31E5">
              <w:rPr>
                <w:rFonts w:ascii="Arial" w:hAnsi="Arial" w:cs="Arial"/>
              </w:rPr>
              <w:t>Splněno.</w:t>
            </w:r>
            <w:r>
              <w:rPr>
                <w:rFonts w:ascii="Arial" w:hAnsi="Arial" w:cs="Arial"/>
              </w:rPr>
              <w:t xml:space="preserve"> </w:t>
            </w:r>
            <w:r w:rsidRPr="005C31E5">
              <w:rPr>
                <w:rFonts w:ascii="Arial" w:hAnsi="Arial" w:cs="Arial"/>
              </w:rPr>
              <w:t>V současné době probíhá</w:t>
            </w:r>
          </w:p>
          <w:p w:rsidR="00F172F4" w:rsidRDefault="00F172F4" w:rsidP="00F172F4">
            <w:pPr>
              <w:jc w:val="both"/>
              <w:rPr>
                <w:rFonts w:ascii="Arial" w:hAnsi="Arial" w:cs="Arial"/>
              </w:rPr>
            </w:pPr>
            <w:r w:rsidRPr="005C31E5">
              <w:rPr>
                <w:rFonts w:ascii="Arial" w:hAnsi="Arial" w:cs="Arial"/>
              </w:rPr>
              <w:t xml:space="preserve">meziresortní připomínkové řízení. </w:t>
            </w:r>
          </w:p>
        </w:tc>
      </w:tr>
    </w:tbl>
    <w:p w:rsidR="005C31E5" w:rsidRDefault="005C31E5" w:rsidP="001F2D81">
      <w:pPr>
        <w:jc w:val="both"/>
        <w:rPr>
          <w:rFonts w:ascii="Arial" w:hAnsi="Arial" w:cs="Arial"/>
        </w:rPr>
      </w:pPr>
    </w:p>
    <w:p w:rsidR="005C31E5" w:rsidRPr="005C31E5" w:rsidRDefault="005C31E5" w:rsidP="005C31E5">
      <w:pPr>
        <w:jc w:val="both"/>
        <w:rPr>
          <w:rFonts w:ascii="Arial" w:hAnsi="Arial" w:cs="Arial"/>
        </w:rPr>
      </w:pPr>
      <w:r w:rsidRPr="005C31E5">
        <w:rPr>
          <w:rFonts w:ascii="Arial" w:hAnsi="Arial" w:cs="Arial"/>
        </w:rPr>
        <w:tab/>
      </w:r>
      <w:r w:rsidRPr="005C31E5">
        <w:rPr>
          <w:rFonts w:ascii="Arial" w:hAnsi="Arial" w:cs="Arial"/>
        </w:rPr>
        <w:tab/>
      </w:r>
      <w:r w:rsidRPr="005C31E5">
        <w:rPr>
          <w:rFonts w:ascii="Arial" w:hAnsi="Arial" w:cs="Arial"/>
        </w:rPr>
        <w:tab/>
      </w:r>
    </w:p>
    <w:p w:rsidR="005C31E5" w:rsidRDefault="005C31E5" w:rsidP="00F172F4">
      <w:pPr>
        <w:jc w:val="both"/>
        <w:rPr>
          <w:rFonts w:ascii="Arial" w:hAnsi="Arial" w:cs="Arial"/>
        </w:rPr>
      </w:pPr>
      <w:r w:rsidRPr="005C31E5">
        <w:rPr>
          <w:rFonts w:ascii="Arial" w:hAnsi="Arial" w:cs="Arial"/>
        </w:rPr>
        <w:tab/>
      </w:r>
    </w:p>
    <w:p w:rsidR="00314E33" w:rsidRDefault="00314E33" w:rsidP="00F172F4">
      <w:pPr>
        <w:jc w:val="both"/>
        <w:rPr>
          <w:rFonts w:ascii="Arial" w:hAnsi="Arial" w:cs="Arial"/>
        </w:rPr>
      </w:pPr>
    </w:p>
    <w:p w:rsidR="00314E33" w:rsidRDefault="00314E33" w:rsidP="00F172F4">
      <w:pPr>
        <w:jc w:val="both"/>
        <w:rPr>
          <w:rFonts w:ascii="Arial" w:hAnsi="Arial" w:cs="Arial"/>
        </w:rPr>
      </w:pPr>
    </w:p>
    <w:p w:rsidR="00314E33" w:rsidRDefault="00314E33" w:rsidP="00F172F4">
      <w:pPr>
        <w:jc w:val="both"/>
        <w:rPr>
          <w:rFonts w:ascii="Arial" w:hAnsi="Arial" w:cs="Arial"/>
        </w:rPr>
      </w:pPr>
    </w:p>
    <w:p w:rsidR="00314E33" w:rsidRDefault="00314E33" w:rsidP="00F172F4">
      <w:pPr>
        <w:jc w:val="both"/>
        <w:rPr>
          <w:rFonts w:ascii="Arial" w:hAnsi="Arial" w:cs="Arial"/>
        </w:rPr>
      </w:pPr>
    </w:p>
    <w:p w:rsidR="00314E33" w:rsidRDefault="00314E33" w:rsidP="00F172F4">
      <w:pPr>
        <w:jc w:val="both"/>
        <w:rPr>
          <w:rFonts w:ascii="Arial" w:hAnsi="Arial" w:cs="Arial"/>
        </w:rPr>
      </w:pPr>
    </w:p>
    <w:p w:rsidR="00314E33" w:rsidRDefault="00314E33" w:rsidP="00F172F4">
      <w:pPr>
        <w:jc w:val="both"/>
        <w:rPr>
          <w:rFonts w:ascii="Arial" w:hAnsi="Arial" w:cs="Arial"/>
        </w:rPr>
      </w:pPr>
    </w:p>
    <w:p w:rsidR="00314E33" w:rsidRDefault="00314E33" w:rsidP="00F172F4">
      <w:pPr>
        <w:jc w:val="both"/>
        <w:rPr>
          <w:rFonts w:ascii="Arial" w:hAnsi="Arial" w:cs="Arial"/>
        </w:rPr>
      </w:pPr>
    </w:p>
    <w:p w:rsidR="00314E33" w:rsidRDefault="00314E33" w:rsidP="00F172F4">
      <w:pPr>
        <w:jc w:val="both"/>
        <w:rPr>
          <w:rFonts w:ascii="Arial" w:hAnsi="Arial" w:cs="Arial"/>
        </w:rPr>
      </w:pPr>
    </w:p>
    <w:p w:rsidR="00314E33" w:rsidRDefault="00314E33" w:rsidP="00F172F4">
      <w:pPr>
        <w:jc w:val="both"/>
        <w:rPr>
          <w:rFonts w:ascii="Arial" w:hAnsi="Arial" w:cs="Arial"/>
        </w:rPr>
      </w:pPr>
    </w:p>
    <w:p w:rsidR="00314E33" w:rsidRDefault="00314E33" w:rsidP="00F172F4">
      <w:pPr>
        <w:jc w:val="both"/>
        <w:rPr>
          <w:rFonts w:ascii="Arial" w:hAnsi="Arial" w:cs="Arial"/>
        </w:rPr>
      </w:pPr>
    </w:p>
    <w:p w:rsidR="00314E33" w:rsidRDefault="00314E33" w:rsidP="00F172F4">
      <w:pPr>
        <w:jc w:val="both"/>
        <w:rPr>
          <w:rFonts w:ascii="Arial" w:hAnsi="Arial" w:cs="Arial"/>
        </w:rPr>
      </w:pPr>
    </w:p>
    <w:p w:rsidR="00314E33" w:rsidRDefault="00314E33" w:rsidP="00F172F4">
      <w:pPr>
        <w:jc w:val="both"/>
        <w:rPr>
          <w:rFonts w:ascii="Arial" w:hAnsi="Arial" w:cs="Arial"/>
        </w:rPr>
      </w:pPr>
    </w:p>
    <w:p w:rsidR="00314E33" w:rsidRDefault="00314E33" w:rsidP="00F172F4">
      <w:pPr>
        <w:jc w:val="both"/>
        <w:rPr>
          <w:rFonts w:ascii="Arial" w:hAnsi="Arial" w:cs="Arial"/>
        </w:rPr>
      </w:pPr>
    </w:p>
    <w:p w:rsidR="00314E33" w:rsidRDefault="00314E33" w:rsidP="00F172F4">
      <w:pPr>
        <w:jc w:val="both"/>
        <w:rPr>
          <w:rFonts w:ascii="Arial" w:hAnsi="Arial" w:cs="Arial"/>
        </w:rPr>
      </w:pPr>
    </w:p>
    <w:p w:rsidR="00314E33" w:rsidRDefault="00314E33" w:rsidP="00F172F4">
      <w:pPr>
        <w:jc w:val="both"/>
        <w:rPr>
          <w:rFonts w:ascii="Arial" w:hAnsi="Arial" w:cs="Arial"/>
        </w:rPr>
      </w:pPr>
    </w:p>
    <w:p w:rsidR="00314E33" w:rsidRDefault="00314E33" w:rsidP="00F172F4">
      <w:pPr>
        <w:jc w:val="both"/>
        <w:rPr>
          <w:rFonts w:ascii="Arial" w:hAnsi="Arial" w:cs="Arial"/>
        </w:rPr>
      </w:pPr>
    </w:p>
    <w:p w:rsidR="00314E33" w:rsidRDefault="00314E33" w:rsidP="00F172F4">
      <w:pPr>
        <w:jc w:val="both"/>
        <w:rPr>
          <w:rFonts w:ascii="Arial" w:hAnsi="Arial" w:cs="Arial"/>
        </w:rPr>
      </w:pPr>
    </w:p>
    <w:p w:rsidR="00314E33" w:rsidRDefault="00314E33" w:rsidP="00F172F4">
      <w:pPr>
        <w:jc w:val="both"/>
        <w:rPr>
          <w:rFonts w:ascii="Arial" w:hAnsi="Arial" w:cs="Arial"/>
        </w:rPr>
      </w:pPr>
    </w:p>
    <w:p w:rsidR="00314E33" w:rsidRPr="00314E33" w:rsidRDefault="00314E33" w:rsidP="00314E33">
      <w:pPr>
        <w:pBdr>
          <w:top w:val="single" w:sz="4" w:space="1" w:color="auto"/>
          <w:left w:val="single" w:sz="4" w:space="4" w:color="auto"/>
          <w:bottom w:val="single" w:sz="4" w:space="1" w:color="auto"/>
          <w:right w:val="single" w:sz="4" w:space="4" w:color="auto"/>
        </w:pBdr>
        <w:jc w:val="center"/>
        <w:rPr>
          <w:rFonts w:ascii="Arial" w:hAnsi="Arial" w:cs="Arial"/>
          <w:b/>
        </w:rPr>
      </w:pPr>
      <w:r w:rsidRPr="00314E33">
        <w:rPr>
          <w:rFonts w:ascii="Arial" w:hAnsi="Arial" w:cs="Arial"/>
          <w:b/>
        </w:rPr>
        <w:lastRenderedPageBreak/>
        <w:t>CÍL: Podpora konkurenceschopnosti MSP</w:t>
      </w:r>
    </w:p>
    <w:p w:rsidR="00314E33" w:rsidRPr="00314E33" w:rsidRDefault="00314E33" w:rsidP="00314E33">
      <w:pPr>
        <w:pBdr>
          <w:top w:val="single" w:sz="4" w:space="1" w:color="auto"/>
          <w:left w:val="single" w:sz="4" w:space="4" w:color="auto"/>
          <w:bottom w:val="single" w:sz="4" w:space="1" w:color="auto"/>
          <w:right w:val="single" w:sz="4" w:space="4" w:color="auto"/>
        </w:pBdr>
        <w:jc w:val="center"/>
        <w:rPr>
          <w:rFonts w:ascii="Arial" w:hAnsi="Arial" w:cs="Arial"/>
          <w:i/>
        </w:rPr>
      </w:pPr>
      <w:r w:rsidRPr="00314E33">
        <w:rPr>
          <w:rFonts w:ascii="Arial" w:hAnsi="Arial" w:cs="Arial"/>
          <w:i/>
        </w:rPr>
        <w:t>Indikátor: výše a struktura podpory (MPO)</w:t>
      </w:r>
    </w:p>
    <w:p w:rsidR="00314E33" w:rsidRDefault="00314E33" w:rsidP="00314E33">
      <w:pPr>
        <w:jc w:val="both"/>
        <w:rPr>
          <w:rFonts w:ascii="Arial" w:hAnsi="Arial" w:cs="Arial"/>
        </w:rPr>
      </w:pPr>
      <w:r w:rsidRPr="00314E33">
        <w:rPr>
          <w:rFonts w:ascii="Arial" w:hAnsi="Arial" w:cs="Arial"/>
        </w:rPr>
        <w:t xml:space="preserve">Z hlediska legislativy je nejdůležitějším výsledkem schválení </w:t>
      </w:r>
      <w:r w:rsidRPr="00314E33">
        <w:rPr>
          <w:rFonts w:ascii="Arial" w:hAnsi="Arial" w:cs="Arial"/>
          <w:b/>
        </w:rPr>
        <w:t>novely insolvenčního zákona</w:t>
      </w:r>
      <w:r w:rsidRPr="00314E33">
        <w:rPr>
          <w:rFonts w:ascii="Arial" w:hAnsi="Arial" w:cs="Arial"/>
        </w:rPr>
        <w:t xml:space="preserve">. </w:t>
      </w:r>
    </w:p>
    <w:p w:rsidR="00314E33" w:rsidRPr="00314E33" w:rsidRDefault="00314E33" w:rsidP="00314E33">
      <w:pPr>
        <w:jc w:val="both"/>
        <w:rPr>
          <w:rFonts w:ascii="Arial" w:hAnsi="Arial" w:cs="Arial"/>
        </w:rPr>
      </w:pPr>
      <w:r w:rsidRPr="00314E33">
        <w:rPr>
          <w:rFonts w:ascii="Arial" w:hAnsi="Arial" w:cs="Arial"/>
        </w:rPr>
        <w:t xml:space="preserve">Malé a střední podniky jsou </w:t>
      </w:r>
      <w:r>
        <w:rPr>
          <w:rFonts w:ascii="Arial" w:hAnsi="Arial" w:cs="Arial"/>
        </w:rPr>
        <w:t xml:space="preserve">dále </w:t>
      </w:r>
      <w:r w:rsidRPr="00314E33">
        <w:rPr>
          <w:rFonts w:ascii="Arial" w:hAnsi="Arial" w:cs="Arial"/>
        </w:rPr>
        <w:t xml:space="preserve">podporovány ze strany </w:t>
      </w:r>
      <w:proofErr w:type="spellStart"/>
      <w:r w:rsidRPr="00314E33">
        <w:rPr>
          <w:rFonts w:ascii="Arial" w:hAnsi="Arial" w:cs="Arial"/>
        </w:rPr>
        <w:t>CzechInvestu</w:t>
      </w:r>
      <w:proofErr w:type="spellEnd"/>
      <w:r w:rsidRPr="00314E33">
        <w:rPr>
          <w:rFonts w:ascii="Arial" w:hAnsi="Arial" w:cs="Arial"/>
        </w:rPr>
        <w:t xml:space="preserve"> i  v rámci OP PIK.</w:t>
      </w:r>
    </w:p>
    <w:p w:rsidR="00314E33" w:rsidRPr="00314E33" w:rsidRDefault="00314E33" w:rsidP="00314E33">
      <w:pPr>
        <w:jc w:val="both"/>
        <w:rPr>
          <w:rFonts w:ascii="Arial" w:hAnsi="Arial" w:cs="Arial"/>
        </w:rPr>
      </w:pPr>
      <w:r w:rsidRPr="00314E33">
        <w:rPr>
          <w:rFonts w:ascii="Arial" w:hAnsi="Arial" w:cs="Arial"/>
          <w:b/>
        </w:rPr>
        <w:t>Operační program Podnikání a inovace pro konkurenceschopnost</w:t>
      </w:r>
      <w:r w:rsidRPr="00314E33">
        <w:rPr>
          <w:rFonts w:ascii="Arial" w:hAnsi="Arial" w:cs="Arial"/>
        </w:rPr>
        <w:t xml:space="preserve"> (OP PIK) je primárně určen na podporu malých a středních podniků. Za sledované období 1.1.2017 – 30.6.2017 bylo celkem proplaceno 4,6 mld. Kč, a to jak na investiční tak i neinvestiční výdaje. Strukturu výdajů tvoří dotace – 1,5 mld. Kč, výdaje technické pomoci – 174 mil. Kč a výdaje na finanční nástroje – 2,9 mld. Kč (vše ERDF).</w:t>
      </w:r>
    </w:p>
    <w:p w:rsidR="00314E33" w:rsidRPr="00314E33" w:rsidRDefault="00314E33" w:rsidP="00314E33">
      <w:pPr>
        <w:jc w:val="both"/>
        <w:rPr>
          <w:rFonts w:ascii="Arial" w:hAnsi="Arial" w:cs="Arial"/>
        </w:rPr>
      </w:pPr>
      <w:r w:rsidRPr="00314E33">
        <w:rPr>
          <w:rFonts w:ascii="Arial" w:hAnsi="Arial" w:cs="Arial"/>
        </w:rPr>
        <w:t xml:space="preserve">K datu 30. 6. 2017 bylo pro OP PIK evidováno v MS2014+ 154 výzev s celkovou alokací 112,7 mld. Kč. Z toho bylo k tomuto datu otevřeno 16 výzev (včetně výzvy pro Technickou pomoc) s celkovou alokací 33,5 mld. Kč, do kterých bylo či stále je možné předkládat žádosti o podporu. K datu 30. 6. 2017 bylo evidováno v MS2014+ celkem </w:t>
      </w:r>
      <w:r w:rsidRPr="00314E33">
        <w:rPr>
          <w:rFonts w:ascii="Arial" w:hAnsi="Arial" w:cs="Arial"/>
          <w:b/>
        </w:rPr>
        <w:t>27 001 žádostí o podporu, z nichž bylo 10 986 zaregistrovaných žádostí o podporu s celkovými předpokládanými způsobilými výdaji přesahujícími 235,5 mld. Kč</w:t>
      </w:r>
      <w:r w:rsidRPr="00314E33">
        <w:rPr>
          <w:rFonts w:ascii="Arial" w:hAnsi="Arial" w:cs="Arial"/>
        </w:rPr>
        <w:t xml:space="preserve"> (samotné dotace se budou lišit dle míry podpory podle jednotlivých programů, resp. výzev), předpokládaný příspěvek EU činil 96,5 mld. Kč.</w:t>
      </w:r>
    </w:p>
    <w:p w:rsidR="00314E33" w:rsidRPr="00314E33" w:rsidRDefault="00314E33" w:rsidP="00314E33">
      <w:pPr>
        <w:jc w:val="both"/>
        <w:rPr>
          <w:rFonts w:ascii="Arial" w:hAnsi="Arial" w:cs="Arial"/>
        </w:rPr>
      </w:pPr>
      <w:r w:rsidRPr="00314E33">
        <w:rPr>
          <w:rFonts w:ascii="Arial" w:hAnsi="Arial" w:cs="Arial"/>
        </w:rPr>
        <w:t xml:space="preserve">Specificky na podporu </w:t>
      </w:r>
      <w:r w:rsidRPr="00314E33">
        <w:rPr>
          <w:rFonts w:ascii="Arial" w:hAnsi="Arial" w:cs="Arial"/>
          <w:b/>
        </w:rPr>
        <w:t>start-</w:t>
      </w:r>
      <w:proofErr w:type="spellStart"/>
      <w:r w:rsidRPr="00314E33">
        <w:rPr>
          <w:rFonts w:ascii="Arial" w:hAnsi="Arial" w:cs="Arial"/>
          <w:b/>
        </w:rPr>
        <w:t>upů</w:t>
      </w:r>
      <w:proofErr w:type="spellEnd"/>
      <w:r w:rsidRPr="00314E33">
        <w:rPr>
          <w:rFonts w:ascii="Arial" w:hAnsi="Arial" w:cs="Arial"/>
          <w:b/>
        </w:rPr>
        <w:t xml:space="preserve"> a inovativních firem</w:t>
      </w:r>
      <w:r w:rsidRPr="00314E33">
        <w:rPr>
          <w:rFonts w:ascii="Arial" w:hAnsi="Arial" w:cs="Arial"/>
        </w:rPr>
        <w:t xml:space="preserve"> se zaměřuje </w:t>
      </w:r>
      <w:r>
        <w:rPr>
          <w:rFonts w:ascii="Arial" w:hAnsi="Arial" w:cs="Arial"/>
        </w:rPr>
        <w:t xml:space="preserve">projekt agentury </w:t>
      </w:r>
      <w:proofErr w:type="spellStart"/>
      <w:r>
        <w:rPr>
          <w:rFonts w:ascii="Arial" w:hAnsi="Arial" w:cs="Arial"/>
        </w:rPr>
        <w:t>CzechInvest</w:t>
      </w:r>
      <w:proofErr w:type="spellEnd"/>
      <w:r>
        <w:rPr>
          <w:rFonts w:ascii="Arial" w:hAnsi="Arial" w:cs="Arial"/>
        </w:rPr>
        <w:t xml:space="preserve">. Byla například podpořena účast celkem 12 českých firem </w:t>
      </w:r>
      <w:r w:rsidRPr="00314E33">
        <w:rPr>
          <w:rFonts w:ascii="Arial" w:hAnsi="Arial" w:cs="Arial"/>
        </w:rPr>
        <w:t xml:space="preserve">na mezinárodním veletrhu </w:t>
      </w:r>
      <w:proofErr w:type="spellStart"/>
      <w:r w:rsidRPr="00314E33">
        <w:rPr>
          <w:rFonts w:ascii="Arial" w:hAnsi="Arial" w:cs="Arial"/>
        </w:rPr>
        <w:t>TechCrunch</w:t>
      </w:r>
      <w:proofErr w:type="spellEnd"/>
      <w:r w:rsidRPr="00314E33">
        <w:rPr>
          <w:rFonts w:ascii="Arial" w:hAnsi="Arial" w:cs="Arial"/>
        </w:rPr>
        <w:t xml:space="preserve"> </w:t>
      </w:r>
      <w:proofErr w:type="spellStart"/>
      <w:r w:rsidRPr="00314E33">
        <w:rPr>
          <w:rFonts w:ascii="Arial" w:hAnsi="Arial" w:cs="Arial"/>
        </w:rPr>
        <w:t>Disrupt</w:t>
      </w:r>
      <w:proofErr w:type="spellEnd"/>
      <w:r w:rsidRPr="00314E33">
        <w:rPr>
          <w:rFonts w:ascii="Arial" w:hAnsi="Arial" w:cs="Arial"/>
        </w:rPr>
        <w:t xml:space="preserve"> New York 2017 a </w:t>
      </w:r>
      <w:proofErr w:type="spellStart"/>
      <w:r w:rsidRPr="00314E33">
        <w:rPr>
          <w:rFonts w:ascii="Arial" w:hAnsi="Arial" w:cs="Arial"/>
        </w:rPr>
        <w:t>TechCrunch</w:t>
      </w:r>
      <w:proofErr w:type="spellEnd"/>
      <w:r w:rsidRPr="00314E33">
        <w:rPr>
          <w:rFonts w:ascii="Arial" w:hAnsi="Arial" w:cs="Arial"/>
        </w:rPr>
        <w:t xml:space="preserve"> </w:t>
      </w:r>
      <w:proofErr w:type="spellStart"/>
      <w:r w:rsidRPr="00314E33">
        <w:rPr>
          <w:rFonts w:ascii="Arial" w:hAnsi="Arial" w:cs="Arial"/>
        </w:rPr>
        <w:t>Disrupt</w:t>
      </w:r>
      <w:proofErr w:type="spellEnd"/>
      <w:r w:rsidRPr="00314E33">
        <w:rPr>
          <w:rFonts w:ascii="Arial" w:hAnsi="Arial" w:cs="Arial"/>
        </w:rPr>
        <w:t xml:space="preserve"> San </w:t>
      </w:r>
      <w:proofErr w:type="spellStart"/>
      <w:r w:rsidRPr="00314E33">
        <w:rPr>
          <w:rFonts w:ascii="Arial" w:hAnsi="Arial" w:cs="Arial"/>
        </w:rPr>
        <w:t>Francisco</w:t>
      </w:r>
      <w:proofErr w:type="spellEnd"/>
      <w:r w:rsidRPr="00314E33">
        <w:rPr>
          <w:rFonts w:ascii="Arial" w:hAnsi="Arial" w:cs="Arial"/>
        </w:rPr>
        <w:t xml:space="preserve"> 2017</w:t>
      </w:r>
      <w:r>
        <w:rPr>
          <w:rFonts w:ascii="Arial" w:hAnsi="Arial" w:cs="Arial"/>
        </w:rPr>
        <w:t>, byla také vypsána výzva, která podpoří pobyt českých start-</w:t>
      </w:r>
      <w:proofErr w:type="spellStart"/>
      <w:r>
        <w:rPr>
          <w:rFonts w:ascii="Arial" w:hAnsi="Arial" w:cs="Arial"/>
        </w:rPr>
        <w:t>upů</w:t>
      </w:r>
      <w:proofErr w:type="spellEnd"/>
      <w:r>
        <w:rPr>
          <w:rFonts w:ascii="Arial" w:hAnsi="Arial" w:cs="Arial"/>
        </w:rPr>
        <w:t xml:space="preserve"> v akcelerátoru.</w:t>
      </w:r>
    </w:p>
    <w:p w:rsidR="00314E33" w:rsidRPr="00314E33" w:rsidRDefault="00314E33" w:rsidP="00314E33">
      <w:pPr>
        <w:jc w:val="both"/>
        <w:rPr>
          <w:rFonts w:ascii="Arial" w:hAnsi="Arial" w:cs="Arial"/>
        </w:rPr>
      </w:pPr>
      <w:r w:rsidRPr="00314E33">
        <w:rPr>
          <w:rFonts w:ascii="Arial" w:hAnsi="Arial" w:cs="Arial"/>
        </w:rPr>
        <w:t xml:space="preserve">Co se týče </w:t>
      </w:r>
      <w:r w:rsidRPr="00314E33">
        <w:rPr>
          <w:rFonts w:ascii="Arial" w:hAnsi="Arial" w:cs="Arial"/>
          <w:b/>
        </w:rPr>
        <w:t>poskytování rizikového kapitálu</w:t>
      </w:r>
      <w:r w:rsidRPr="00314E33">
        <w:rPr>
          <w:rFonts w:ascii="Arial" w:hAnsi="Arial" w:cs="Arial"/>
        </w:rPr>
        <w:t xml:space="preserve">, který by měl pomoci s modernizací malých a středních podniků, klíčovým opatřením ze strany MPO je zřízení </w:t>
      </w:r>
      <w:r w:rsidRPr="00314E33">
        <w:rPr>
          <w:rFonts w:ascii="Arial" w:hAnsi="Arial" w:cs="Arial"/>
          <w:b/>
        </w:rPr>
        <w:t>Národního inovačního fondu, investiční společnosti, a.s</w:t>
      </w:r>
      <w:r w:rsidRPr="00314E33">
        <w:rPr>
          <w:rFonts w:ascii="Arial" w:hAnsi="Arial" w:cs="Arial"/>
        </w:rPr>
        <w:t>. Tato společnost je momentálně ve fázi probíhajícího řízení o získání povolení k činnosti investiční společnosti u České národní banky. Po získání povolení dojde k zápisu společnosti do obchodního rejstříku a zahájení činnosti.</w:t>
      </w:r>
    </w:p>
    <w:p w:rsidR="00314E33" w:rsidRDefault="00314E33" w:rsidP="00314E33">
      <w:pPr>
        <w:jc w:val="both"/>
        <w:rPr>
          <w:rFonts w:ascii="Arial" w:hAnsi="Arial" w:cs="Arial"/>
        </w:rPr>
      </w:pPr>
      <w:r w:rsidRPr="00314E33">
        <w:rPr>
          <w:rFonts w:ascii="Arial" w:hAnsi="Arial" w:cs="Arial"/>
        </w:rPr>
        <w:t xml:space="preserve">S tím přímo souvisí i činnost </w:t>
      </w:r>
      <w:r w:rsidRPr="00314E33">
        <w:rPr>
          <w:rFonts w:ascii="Arial" w:hAnsi="Arial" w:cs="Arial"/>
          <w:b/>
        </w:rPr>
        <w:t>Evropského investičního fondu</w:t>
      </w:r>
      <w:r w:rsidRPr="00314E33">
        <w:rPr>
          <w:rFonts w:ascii="Arial" w:hAnsi="Arial" w:cs="Arial"/>
        </w:rPr>
        <w:t>. V lednu 2017 došlo k podpisu dohody o financování fondu fondů s Evropským investičním fondem, který bude</w:t>
      </w:r>
      <w:r>
        <w:rPr>
          <w:rFonts w:ascii="Arial" w:hAnsi="Arial" w:cs="Arial"/>
        </w:rPr>
        <w:t xml:space="preserve"> mít k dispozici 40 mil. EUR z </w:t>
      </w:r>
      <w:r w:rsidRPr="00314E33">
        <w:rPr>
          <w:rFonts w:ascii="Arial" w:hAnsi="Arial" w:cs="Arial"/>
        </w:rPr>
        <w:t xml:space="preserve">OP PIK a 10 mil. EUR z prostředků EIF pro </w:t>
      </w:r>
      <w:r w:rsidRPr="00AA66F5">
        <w:rPr>
          <w:rFonts w:ascii="Arial" w:hAnsi="Arial" w:cs="Arial"/>
          <w:b/>
        </w:rPr>
        <w:t>investice do inovativních českých firem ve start-</w:t>
      </w:r>
      <w:proofErr w:type="spellStart"/>
      <w:r w:rsidRPr="00AA66F5">
        <w:rPr>
          <w:rFonts w:ascii="Arial" w:hAnsi="Arial" w:cs="Arial"/>
          <w:b/>
        </w:rPr>
        <w:t>up</w:t>
      </w:r>
      <w:proofErr w:type="spellEnd"/>
      <w:r w:rsidRPr="00AA66F5">
        <w:rPr>
          <w:rFonts w:ascii="Arial" w:hAnsi="Arial" w:cs="Arial"/>
          <w:b/>
        </w:rPr>
        <w:t xml:space="preserve"> a </w:t>
      </w:r>
      <w:proofErr w:type="spellStart"/>
      <w:r w:rsidRPr="00AA66F5">
        <w:rPr>
          <w:rFonts w:ascii="Arial" w:hAnsi="Arial" w:cs="Arial"/>
          <w:b/>
        </w:rPr>
        <w:t>seed</w:t>
      </w:r>
      <w:proofErr w:type="spellEnd"/>
      <w:r w:rsidRPr="00AA66F5">
        <w:rPr>
          <w:rFonts w:ascii="Arial" w:hAnsi="Arial" w:cs="Arial"/>
          <w:b/>
        </w:rPr>
        <w:t xml:space="preserve"> fázi.</w:t>
      </w:r>
      <w:r w:rsidRPr="00314E33">
        <w:rPr>
          <w:rFonts w:ascii="Arial" w:hAnsi="Arial" w:cs="Arial"/>
        </w:rPr>
        <w:t xml:space="preserve"> Ve výzvě pro vyjádření zájmu pro finanční zprostředkovatele fondu fondů bylo podáno 11 přihlášek, z nichž EIF provedlo předběžný výběr 1 uchazeče. Zahájení činnosti fondu fondů a první investice se očekávají na přelomu let 2017 a 2018.</w:t>
      </w:r>
    </w:p>
    <w:p w:rsidR="00AA66F5" w:rsidRPr="00314E33" w:rsidRDefault="00AA66F5" w:rsidP="00AA66F5">
      <w:pPr>
        <w:jc w:val="both"/>
        <w:rPr>
          <w:rFonts w:ascii="Arial" w:hAnsi="Arial" w:cs="Arial"/>
        </w:rPr>
      </w:pPr>
      <w:r>
        <w:rPr>
          <w:rFonts w:ascii="Arial" w:hAnsi="Arial" w:cs="Arial"/>
        </w:rPr>
        <w:t>Splněná opatření:</w:t>
      </w:r>
    </w:p>
    <w:tbl>
      <w:tblPr>
        <w:tblStyle w:val="Mkatabulky"/>
        <w:tblW w:w="0" w:type="auto"/>
        <w:tblLook w:val="04A0"/>
      </w:tblPr>
      <w:tblGrid>
        <w:gridCol w:w="817"/>
        <w:gridCol w:w="851"/>
        <w:gridCol w:w="3118"/>
        <w:gridCol w:w="851"/>
        <w:gridCol w:w="3575"/>
      </w:tblGrid>
      <w:tr w:rsidR="00AA66F5" w:rsidTr="00AA66F5">
        <w:tc>
          <w:tcPr>
            <w:tcW w:w="817" w:type="dxa"/>
          </w:tcPr>
          <w:p w:rsidR="00AA66F5" w:rsidRDefault="00AA66F5" w:rsidP="00AA66F5">
            <w:pPr>
              <w:jc w:val="both"/>
              <w:rPr>
                <w:rFonts w:ascii="Arial" w:hAnsi="Arial" w:cs="Arial"/>
              </w:rPr>
            </w:pPr>
            <w:r w:rsidRPr="00AA66F5">
              <w:rPr>
                <w:rFonts w:ascii="Arial" w:hAnsi="Arial" w:cs="Arial"/>
              </w:rPr>
              <w:t>MSP1</w:t>
            </w:r>
          </w:p>
        </w:tc>
        <w:tc>
          <w:tcPr>
            <w:tcW w:w="851" w:type="dxa"/>
          </w:tcPr>
          <w:p w:rsidR="00AA66F5" w:rsidRDefault="00AA66F5" w:rsidP="00AA66F5">
            <w:pPr>
              <w:jc w:val="both"/>
              <w:rPr>
                <w:rFonts w:ascii="Arial" w:hAnsi="Arial" w:cs="Arial"/>
              </w:rPr>
            </w:pPr>
            <w:r w:rsidRPr="00AA66F5">
              <w:rPr>
                <w:rFonts w:ascii="Arial" w:hAnsi="Arial" w:cs="Arial"/>
              </w:rPr>
              <w:t>MSP</w:t>
            </w:r>
            <w:r w:rsidRPr="00AA66F5">
              <w:rPr>
                <w:rFonts w:ascii="Arial" w:hAnsi="Arial" w:cs="Arial"/>
              </w:rPr>
              <w:tab/>
            </w:r>
          </w:p>
        </w:tc>
        <w:tc>
          <w:tcPr>
            <w:tcW w:w="3118" w:type="dxa"/>
          </w:tcPr>
          <w:p w:rsidR="00AA66F5" w:rsidRDefault="00AA66F5" w:rsidP="00AA66F5">
            <w:pPr>
              <w:jc w:val="both"/>
              <w:rPr>
                <w:rFonts w:ascii="Arial" w:hAnsi="Arial" w:cs="Arial"/>
              </w:rPr>
            </w:pPr>
            <w:r w:rsidRPr="00AA66F5">
              <w:rPr>
                <w:rFonts w:ascii="Arial" w:hAnsi="Arial" w:cs="Arial"/>
              </w:rPr>
              <w:t>Schválení novely insolvenčního zákona</w:t>
            </w:r>
          </w:p>
        </w:tc>
        <w:tc>
          <w:tcPr>
            <w:tcW w:w="851" w:type="dxa"/>
          </w:tcPr>
          <w:p w:rsidR="00AA66F5" w:rsidRPr="00AA66F5" w:rsidRDefault="00AA66F5" w:rsidP="00AA66F5">
            <w:pPr>
              <w:jc w:val="both"/>
              <w:rPr>
                <w:rFonts w:ascii="Arial" w:hAnsi="Arial" w:cs="Arial"/>
              </w:rPr>
            </w:pPr>
            <w:r w:rsidRPr="00AA66F5">
              <w:rPr>
                <w:rFonts w:ascii="Arial" w:hAnsi="Arial" w:cs="Arial"/>
              </w:rPr>
              <w:t>I/2017</w:t>
            </w:r>
          </w:p>
          <w:p w:rsidR="00AA66F5" w:rsidRDefault="00AA66F5" w:rsidP="00AA66F5">
            <w:pPr>
              <w:jc w:val="both"/>
              <w:rPr>
                <w:rFonts w:ascii="Arial" w:hAnsi="Arial" w:cs="Arial"/>
              </w:rPr>
            </w:pPr>
          </w:p>
        </w:tc>
        <w:tc>
          <w:tcPr>
            <w:tcW w:w="3575" w:type="dxa"/>
          </w:tcPr>
          <w:p w:rsidR="00AA66F5" w:rsidRDefault="00AA66F5" w:rsidP="00AA66F5">
            <w:pPr>
              <w:jc w:val="both"/>
              <w:rPr>
                <w:rFonts w:ascii="Arial" w:hAnsi="Arial" w:cs="Arial"/>
              </w:rPr>
            </w:pPr>
            <w:r w:rsidRPr="00AA66F5">
              <w:rPr>
                <w:rFonts w:ascii="Arial" w:hAnsi="Arial" w:cs="Arial"/>
              </w:rPr>
              <w:t>Splněno (zákon č. 64/2017 Sb. byl vyhlášen dne 3. 3. 2017).</w:t>
            </w:r>
          </w:p>
        </w:tc>
      </w:tr>
    </w:tbl>
    <w:p w:rsidR="00AA66F5" w:rsidRPr="00314E33" w:rsidRDefault="00AA66F5" w:rsidP="00AA66F5">
      <w:pPr>
        <w:jc w:val="both"/>
        <w:rPr>
          <w:rFonts w:ascii="Arial" w:hAnsi="Arial" w:cs="Arial"/>
        </w:rPr>
      </w:pPr>
    </w:p>
    <w:p w:rsidR="00314E33" w:rsidRDefault="00314E33" w:rsidP="00F172F4">
      <w:pPr>
        <w:jc w:val="both"/>
        <w:rPr>
          <w:rFonts w:ascii="Arial" w:hAnsi="Arial" w:cs="Arial"/>
        </w:rPr>
      </w:pPr>
    </w:p>
    <w:p w:rsidR="00AA66F5" w:rsidRDefault="00AA66F5" w:rsidP="00F172F4">
      <w:pPr>
        <w:jc w:val="both"/>
        <w:rPr>
          <w:rFonts w:ascii="Arial" w:hAnsi="Arial" w:cs="Arial"/>
        </w:rPr>
      </w:pPr>
    </w:p>
    <w:p w:rsidR="007A661C" w:rsidRPr="007A661C" w:rsidRDefault="007A661C" w:rsidP="007A661C">
      <w:pPr>
        <w:pBdr>
          <w:top w:val="single" w:sz="4" w:space="1" w:color="auto"/>
          <w:left w:val="single" w:sz="4" w:space="4" w:color="auto"/>
          <w:bottom w:val="single" w:sz="4" w:space="1" w:color="auto"/>
          <w:right w:val="single" w:sz="4" w:space="4" w:color="auto"/>
        </w:pBdr>
        <w:jc w:val="center"/>
        <w:rPr>
          <w:rFonts w:ascii="Arial" w:hAnsi="Arial" w:cs="Arial"/>
          <w:b/>
        </w:rPr>
      </w:pPr>
      <w:r w:rsidRPr="007A661C">
        <w:rPr>
          <w:rFonts w:ascii="Arial" w:hAnsi="Arial" w:cs="Arial"/>
          <w:b/>
        </w:rPr>
        <w:lastRenderedPageBreak/>
        <w:t>CÍL: Efektivní politika na trhu práce (ETP)</w:t>
      </w:r>
    </w:p>
    <w:p w:rsidR="007A661C" w:rsidRPr="007A661C" w:rsidRDefault="007A661C" w:rsidP="007A661C">
      <w:pPr>
        <w:pBdr>
          <w:top w:val="single" w:sz="4" w:space="1" w:color="auto"/>
          <w:left w:val="single" w:sz="4" w:space="4" w:color="auto"/>
          <w:bottom w:val="single" w:sz="4" w:space="1" w:color="auto"/>
          <w:right w:val="single" w:sz="4" w:space="4" w:color="auto"/>
        </w:pBdr>
        <w:jc w:val="center"/>
        <w:rPr>
          <w:rFonts w:ascii="Arial" w:hAnsi="Arial" w:cs="Arial"/>
          <w:i/>
        </w:rPr>
      </w:pPr>
      <w:r w:rsidRPr="007A661C">
        <w:rPr>
          <w:rFonts w:ascii="Arial" w:hAnsi="Arial" w:cs="Arial"/>
          <w:i/>
        </w:rPr>
        <w:t>Indikátor: vývoj zaměstnanosti, poptávky po zaměstnancích a výše průměrných mezd (MPSV)</w:t>
      </w:r>
    </w:p>
    <w:p w:rsidR="007A661C" w:rsidRPr="007A661C" w:rsidRDefault="007A661C" w:rsidP="007A661C">
      <w:pPr>
        <w:jc w:val="both"/>
        <w:rPr>
          <w:rFonts w:ascii="Arial" w:hAnsi="Arial" w:cs="Arial"/>
        </w:rPr>
      </w:pPr>
      <w:r w:rsidRPr="007A661C">
        <w:rPr>
          <w:rFonts w:ascii="Arial" w:hAnsi="Arial" w:cs="Arial"/>
        </w:rPr>
        <w:t xml:space="preserve">Celková </w:t>
      </w:r>
      <w:r w:rsidRPr="007A661C">
        <w:rPr>
          <w:rFonts w:ascii="Arial" w:hAnsi="Arial" w:cs="Arial"/>
          <w:b/>
        </w:rPr>
        <w:t>zaměstnanost</w:t>
      </w:r>
      <w:r w:rsidRPr="007A661C">
        <w:rPr>
          <w:rFonts w:ascii="Arial" w:hAnsi="Arial" w:cs="Arial"/>
        </w:rPr>
        <w:t xml:space="preserve"> se v 1. čtvrtletí 2017 meziročně zvýšila o 82,5 tis. osob (tj. o 1,6 %) </w:t>
      </w:r>
      <w:r>
        <w:rPr>
          <w:rFonts w:ascii="Arial" w:hAnsi="Arial" w:cs="Arial"/>
        </w:rPr>
        <w:br/>
      </w:r>
      <w:r w:rsidRPr="007A661C">
        <w:rPr>
          <w:rFonts w:ascii="Arial" w:hAnsi="Arial" w:cs="Arial"/>
        </w:rPr>
        <w:t xml:space="preserve">a dosáhla 5 169,2 tis., ve  2. čtvrtletí 2017 se meziročně zvýšila o 68,8 tis. osob (tj. o 1,3 %) a dosáhla </w:t>
      </w:r>
      <w:r w:rsidRPr="007A661C">
        <w:rPr>
          <w:rFonts w:ascii="Arial" w:hAnsi="Arial" w:cs="Arial"/>
          <w:b/>
        </w:rPr>
        <w:t>5 197,3 tis</w:t>
      </w:r>
      <w:r w:rsidRPr="007A661C">
        <w:rPr>
          <w:rFonts w:ascii="Arial" w:hAnsi="Arial" w:cs="Arial"/>
        </w:rPr>
        <w:t xml:space="preserve">., což  je </w:t>
      </w:r>
      <w:r w:rsidRPr="007A661C">
        <w:rPr>
          <w:rFonts w:ascii="Arial" w:hAnsi="Arial" w:cs="Arial"/>
          <w:b/>
        </w:rPr>
        <w:t>nejvyšší hodnota od vzniku samostatné ČR</w:t>
      </w:r>
      <w:r w:rsidRPr="007A661C">
        <w:rPr>
          <w:rFonts w:ascii="Arial" w:hAnsi="Arial" w:cs="Arial"/>
        </w:rPr>
        <w:t xml:space="preserve">. Na nárůstu zaměstnanosti se v obou čtvrtletích podílel především sekundární sektor díky růstu zaměstnanosti v průmyslu, a </w:t>
      </w:r>
      <w:r w:rsidRPr="00123F38">
        <w:rPr>
          <w:rFonts w:ascii="Arial" w:hAnsi="Arial" w:cs="Arial"/>
          <w:b/>
        </w:rPr>
        <w:t>terciární sektor, především v sekci profesních, vědeckých a technických činností</w:t>
      </w:r>
      <w:r w:rsidRPr="007A661C">
        <w:rPr>
          <w:rFonts w:ascii="Arial" w:hAnsi="Arial" w:cs="Arial"/>
        </w:rPr>
        <w:t>. Zaměstnanost v primárním sektoru se téměř nezměnila.</w:t>
      </w:r>
    </w:p>
    <w:p w:rsidR="007A661C" w:rsidRPr="007A661C" w:rsidRDefault="007A661C" w:rsidP="007A661C">
      <w:pPr>
        <w:jc w:val="both"/>
        <w:rPr>
          <w:rFonts w:ascii="Arial" w:hAnsi="Arial" w:cs="Arial"/>
        </w:rPr>
      </w:pPr>
      <w:r w:rsidRPr="007A661C">
        <w:rPr>
          <w:rFonts w:ascii="Arial" w:hAnsi="Arial" w:cs="Arial"/>
        </w:rPr>
        <w:t xml:space="preserve">V 1. pololetí 2017 evidovala pracoviště Úřadu práce ČR (ÚP ČR) v průměru 153,4 tis. </w:t>
      </w:r>
      <w:r w:rsidRPr="00123F38">
        <w:rPr>
          <w:rFonts w:ascii="Arial" w:hAnsi="Arial" w:cs="Arial"/>
          <w:b/>
        </w:rPr>
        <w:t>volných pracovních míst</w:t>
      </w:r>
      <w:r w:rsidRPr="007A661C">
        <w:rPr>
          <w:rFonts w:ascii="Arial" w:hAnsi="Arial" w:cs="Arial"/>
        </w:rPr>
        <w:t xml:space="preserve"> nahlášených zaměstnavateli. Jejich průměrný počet byl o 34,9 tis. vyšší než v 1. pololetí 2016. K 30. 6. 2017 dosáhl jejich počet </w:t>
      </w:r>
      <w:r w:rsidRPr="00123F38">
        <w:rPr>
          <w:rFonts w:ascii="Arial" w:hAnsi="Arial" w:cs="Arial"/>
          <w:b/>
        </w:rPr>
        <w:t>183,5 tis.</w:t>
      </w:r>
      <w:r w:rsidRPr="007A661C">
        <w:rPr>
          <w:rFonts w:ascii="Arial" w:hAnsi="Arial" w:cs="Arial"/>
        </w:rPr>
        <w:t xml:space="preserve">, tj. meziročně více o 49,6 tis. míst. To je </w:t>
      </w:r>
      <w:r w:rsidRPr="00123F38">
        <w:rPr>
          <w:rFonts w:ascii="Arial" w:hAnsi="Arial" w:cs="Arial"/>
          <w:b/>
        </w:rPr>
        <w:t>historicky nejvyšší evidovaná hodnota</w:t>
      </w:r>
      <w:r w:rsidRPr="007A661C">
        <w:rPr>
          <w:rFonts w:ascii="Arial" w:hAnsi="Arial" w:cs="Arial"/>
        </w:rPr>
        <w:t xml:space="preserve">. </w:t>
      </w:r>
    </w:p>
    <w:p w:rsidR="007A661C" w:rsidRPr="007A661C" w:rsidRDefault="007A661C" w:rsidP="007A661C">
      <w:pPr>
        <w:jc w:val="both"/>
        <w:rPr>
          <w:rFonts w:ascii="Arial" w:hAnsi="Arial" w:cs="Arial"/>
        </w:rPr>
      </w:pPr>
      <w:r w:rsidRPr="007A661C">
        <w:rPr>
          <w:rFonts w:ascii="Arial" w:hAnsi="Arial" w:cs="Arial"/>
        </w:rPr>
        <w:t xml:space="preserve">V červnu 2017 evidoval Úřad práce ČR </w:t>
      </w:r>
      <w:r w:rsidRPr="00123F38">
        <w:rPr>
          <w:rFonts w:ascii="Arial" w:hAnsi="Arial" w:cs="Arial"/>
          <w:b/>
        </w:rPr>
        <w:t>297 439 uchazečů o zaměstnání</w:t>
      </w:r>
      <w:r w:rsidRPr="007A661C">
        <w:rPr>
          <w:rFonts w:ascii="Arial" w:hAnsi="Arial" w:cs="Arial"/>
        </w:rPr>
        <w:t xml:space="preserve">, což bylo o 11 082 osob méně než v květnu a o 86 899 osob méně než k 30. 6. 2016. Rovněž podíl nezaměstnaných osob poklesl jak v meziměsíčním, tak meziročním srovnání, </w:t>
      </w:r>
      <w:r w:rsidRPr="00123F38">
        <w:rPr>
          <w:rFonts w:ascii="Arial" w:hAnsi="Arial" w:cs="Arial"/>
          <w:b/>
        </w:rPr>
        <w:t>a to na hodnotu 4,0 %.</w:t>
      </w:r>
      <w:r w:rsidRPr="007A661C">
        <w:rPr>
          <w:rFonts w:ascii="Arial" w:hAnsi="Arial" w:cs="Arial"/>
        </w:rPr>
        <w:t xml:space="preserve"> Na jedno volné místo tak připadalo v průměru v ČR 1,6 uchazeče o zaměstnání.</w:t>
      </w:r>
    </w:p>
    <w:p w:rsidR="007A661C" w:rsidRPr="007A661C" w:rsidRDefault="007A661C" w:rsidP="007A661C">
      <w:pPr>
        <w:jc w:val="both"/>
        <w:rPr>
          <w:rFonts w:ascii="Arial" w:hAnsi="Arial" w:cs="Arial"/>
        </w:rPr>
      </w:pPr>
      <w:r w:rsidRPr="007A661C">
        <w:rPr>
          <w:rFonts w:ascii="Arial" w:hAnsi="Arial" w:cs="Arial"/>
        </w:rPr>
        <w:t xml:space="preserve">Z hlediska odvětvové struktury byla největší </w:t>
      </w:r>
      <w:r w:rsidRPr="00123F38">
        <w:rPr>
          <w:rFonts w:ascii="Arial" w:hAnsi="Arial" w:cs="Arial"/>
          <w:b/>
        </w:rPr>
        <w:t>poptávka po pracovnících</w:t>
      </w:r>
      <w:r w:rsidRPr="007A661C">
        <w:rPr>
          <w:rFonts w:ascii="Arial" w:hAnsi="Arial" w:cs="Arial"/>
        </w:rPr>
        <w:t xml:space="preserve"> na konci 1. pololetí 2017 zejména </w:t>
      </w:r>
      <w:r w:rsidRPr="00123F38">
        <w:rPr>
          <w:rFonts w:ascii="Arial" w:hAnsi="Arial" w:cs="Arial"/>
          <w:b/>
        </w:rPr>
        <w:t>ve zpracovatelském průmyslu</w:t>
      </w:r>
      <w:r w:rsidRPr="007A661C">
        <w:rPr>
          <w:rFonts w:ascii="Arial" w:hAnsi="Arial" w:cs="Arial"/>
        </w:rPr>
        <w:t xml:space="preserve"> (23,1 %) a dále v odvětví </w:t>
      </w:r>
      <w:r w:rsidRPr="00123F38">
        <w:rPr>
          <w:rFonts w:ascii="Arial" w:hAnsi="Arial" w:cs="Arial"/>
          <w:b/>
        </w:rPr>
        <w:t>velkoobchod a maloobchod, oprava motorových vozidel</w:t>
      </w:r>
      <w:r w:rsidRPr="007A661C">
        <w:rPr>
          <w:rFonts w:ascii="Arial" w:hAnsi="Arial" w:cs="Arial"/>
        </w:rPr>
        <w:t xml:space="preserve"> (6,7 %) a ve </w:t>
      </w:r>
      <w:r w:rsidRPr="00123F38">
        <w:rPr>
          <w:rFonts w:ascii="Arial" w:hAnsi="Arial" w:cs="Arial"/>
          <w:b/>
        </w:rPr>
        <w:t>stavebnictví</w:t>
      </w:r>
      <w:r w:rsidRPr="007A661C">
        <w:rPr>
          <w:rFonts w:ascii="Arial" w:hAnsi="Arial" w:cs="Arial"/>
        </w:rPr>
        <w:t xml:space="preserve"> (6,0 % všech volných pracovních míst nahlášených na ÚP ČR</w:t>
      </w:r>
      <w:r w:rsidR="00123F38">
        <w:rPr>
          <w:rFonts w:ascii="Arial" w:hAnsi="Arial" w:cs="Arial"/>
        </w:rPr>
        <w:t>)</w:t>
      </w:r>
      <w:r w:rsidRPr="007A661C">
        <w:rPr>
          <w:rFonts w:ascii="Arial" w:hAnsi="Arial" w:cs="Arial"/>
        </w:rPr>
        <w:t>.</w:t>
      </w:r>
    </w:p>
    <w:p w:rsidR="007A661C" w:rsidRPr="007A661C" w:rsidRDefault="007A661C" w:rsidP="007A661C">
      <w:pPr>
        <w:jc w:val="both"/>
        <w:rPr>
          <w:rFonts w:ascii="Arial" w:hAnsi="Arial" w:cs="Arial"/>
        </w:rPr>
      </w:pPr>
      <w:r w:rsidRPr="007A661C">
        <w:rPr>
          <w:rFonts w:ascii="Arial" w:hAnsi="Arial" w:cs="Arial"/>
        </w:rPr>
        <w:t xml:space="preserve">Pokračuje tedy trend, kdy přibývají volná pracovní místa, roste zaměstnanost a míra nezaměstnanosti se stále snižuje. To je doprovázeno také </w:t>
      </w:r>
      <w:r w:rsidRPr="00123F38">
        <w:rPr>
          <w:rFonts w:ascii="Arial" w:hAnsi="Arial" w:cs="Arial"/>
          <w:b/>
        </w:rPr>
        <w:t>postupným růstem průměrné mzdy</w:t>
      </w:r>
      <w:r>
        <w:rPr>
          <w:rFonts w:ascii="Arial" w:hAnsi="Arial" w:cs="Arial"/>
        </w:rPr>
        <w:t>.</w:t>
      </w:r>
      <w:r w:rsidR="00123F38">
        <w:rPr>
          <w:rFonts w:ascii="Arial" w:hAnsi="Arial" w:cs="Arial"/>
        </w:rPr>
        <w:t xml:space="preserve"> </w:t>
      </w:r>
      <w:r w:rsidRPr="007A661C">
        <w:rPr>
          <w:rFonts w:ascii="Arial" w:hAnsi="Arial" w:cs="Arial"/>
        </w:rPr>
        <w:t xml:space="preserve">V 1. čtvrtletí 2017 činila </w:t>
      </w:r>
      <w:r w:rsidRPr="00123F38">
        <w:rPr>
          <w:rFonts w:ascii="Arial" w:hAnsi="Arial" w:cs="Arial"/>
          <w:b/>
        </w:rPr>
        <w:t>výše průměrné měsíční nominální mzdy v ČR (na přepočtené počty) 27 889 Kč</w:t>
      </w:r>
      <w:r w:rsidRPr="007A661C">
        <w:rPr>
          <w:rFonts w:ascii="Arial" w:hAnsi="Arial" w:cs="Arial"/>
        </w:rPr>
        <w:t xml:space="preserve"> (meziroční index nárůstu nominální mzdy 105,3 %, resp. reálné mzdy 102,8 %). To je </w:t>
      </w:r>
      <w:r w:rsidRPr="00123F38">
        <w:rPr>
          <w:rFonts w:ascii="Arial" w:hAnsi="Arial" w:cs="Arial"/>
          <w:b/>
        </w:rPr>
        <w:t>o 1 414 Kč více v meziročním srovnání</w:t>
      </w:r>
      <w:r w:rsidRPr="007A661C">
        <w:rPr>
          <w:rFonts w:ascii="Arial" w:hAnsi="Arial" w:cs="Arial"/>
        </w:rPr>
        <w:t>.</w:t>
      </w:r>
    </w:p>
    <w:p w:rsidR="007A661C" w:rsidRDefault="007A661C" w:rsidP="007A661C">
      <w:pPr>
        <w:jc w:val="both"/>
        <w:rPr>
          <w:rFonts w:ascii="Arial" w:hAnsi="Arial" w:cs="Arial"/>
        </w:rPr>
      </w:pPr>
      <w:r>
        <w:rPr>
          <w:rFonts w:ascii="Arial" w:hAnsi="Arial" w:cs="Arial"/>
        </w:rPr>
        <w:t>Na tento vývoj</w:t>
      </w:r>
      <w:r w:rsidRPr="007A661C">
        <w:rPr>
          <w:rFonts w:ascii="Arial" w:hAnsi="Arial" w:cs="Arial"/>
        </w:rPr>
        <w:t xml:space="preserve"> vláda reagovala také </w:t>
      </w:r>
      <w:r w:rsidRPr="00123F38">
        <w:rPr>
          <w:rFonts w:ascii="Arial" w:hAnsi="Arial" w:cs="Arial"/>
          <w:b/>
        </w:rPr>
        <w:t>zvyšováním zákonné minimální mzdy</w:t>
      </w:r>
      <w:r w:rsidRPr="007A661C">
        <w:rPr>
          <w:rFonts w:ascii="Arial" w:hAnsi="Arial" w:cs="Arial"/>
        </w:rPr>
        <w:t>.</w:t>
      </w:r>
      <w:r>
        <w:rPr>
          <w:rFonts w:ascii="Arial" w:hAnsi="Arial" w:cs="Arial"/>
        </w:rPr>
        <w:t xml:space="preserve"> Ta představuje v současnosti 11 000 Kč (39,4 % průměrné mzdy), </w:t>
      </w:r>
      <w:r w:rsidRPr="00123F38">
        <w:rPr>
          <w:rFonts w:ascii="Arial" w:hAnsi="Arial" w:cs="Arial"/>
          <w:b/>
        </w:rPr>
        <w:t xml:space="preserve">dne 21. srpna 2017 vláda schválila navýšení minimální mzdy na 12 200 Kč pro rok 2018 (43,7 % současné </w:t>
      </w:r>
      <w:r w:rsidR="00123F38">
        <w:rPr>
          <w:rFonts w:ascii="Arial" w:hAnsi="Arial" w:cs="Arial"/>
          <w:b/>
        </w:rPr>
        <w:t xml:space="preserve">průměrné </w:t>
      </w:r>
      <w:r w:rsidRPr="00123F38">
        <w:rPr>
          <w:rFonts w:ascii="Arial" w:hAnsi="Arial" w:cs="Arial"/>
          <w:b/>
        </w:rPr>
        <w:t>mzdy)</w:t>
      </w:r>
      <w:r>
        <w:rPr>
          <w:rFonts w:ascii="Arial" w:hAnsi="Arial" w:cs="Arial"/>
        </w:rPr>
        <w:t>.</w:t>
      </w:r>
    </w:p>
    <w:p w:rsidR="007A661C" w:rsidRPr="00123F38" w:rsidRDefault="007A661C" w:rsidP="007A661C">
      <w:pPr>
        <w:jc w:val="both"/>
        <w:rPr>
          <w:rFonts w:ascii="Arial" w:hAnsi="Arial" w:cs="Arial"/>
          <w:b/>
          <w:u w:val="single"/>
        </w:rPr>
      </w:pPr>
      <w:r w:rsidRPr="00123F38">
        <w:rPr>
          <w:rFonts w:ascii="Arial" w:hAnsi="Arial" w:cs="Arial"/>
          <w:b/>
          <w:u w:val="single"/>
        </w:rPr>
        <w:t>Cílené projekty pracovní migrace</w:t>
      </w:r>
    </w:p>
    <w:p w:rsidR="007A661C" w:rsidRPr="007A661C" w:rsidRDefault="007A661C" w:rsidP="007A661C">
      <w:pPr>
        <w:jc w:val="both"/>
        <w:rPr>
          <w:rFonts w:ascii="Arial" w:hAnsi="Arial" w:cs="Arial"/>
        </w:rPr>
      </w:pPr>
      <w:r w:rsidRPr="007A661C">
        <w:rPr>
          <w:rFonts w:ascii="Arial" w:hAnsi="Arial" w:cs="Arial"/>
        </w:rPr>
        <w:t>Vláda se v Akčním plánu pro rok 2017 zavázala k realizaci tzv. „</w:t>
      </w:r>
      <w:r>
        <w:rPr>
          <w:rFonts w:ascii="Arial" w:hAnsi="Arial" w:cs="Arial"/>
        </w:rPr>
        <w:t>cílených</w:t>
      </w:r>
      <w:r w:rsidRPr="007A661C">
        <w:rPr>
          <w:rFonts w:ascii="Arial" w:hAnsi="Arial" w:cs="Arial"/>
        </w:rPr>
        <w:t xml:space="preserve"> projektů migrace“, které mají odpovědět na nedostatek pracovních sil v určitých oborech a profesích, kde pracovní síly v České republice dlouhodobě nedostačují potřebám firem.</w:t>
      </w:r>
    </w:p>
    <w:p w:rsidR="007A661C" w:rsidRPr="007A661C" w:rsidRDefault="007A661C" w:rsidP="007A661C">
      <w:pPr>
        <w:jc w:val="both"/>
        <w:rPr>
          <w:rFonts w:ascii="Arial" w:hAnsi="Arial" w:cs="Arial"/>
        </w:rPr>
      </w:pPr>
      <w:r w:rsidRPr="007A661C">
        <w:rPr>
          <w:rFonts w:ascii="Arial" w:hAnsi="Arial" w:cs="Arial"/>
        </w:rPr>
        <w:t xml:space="preserve">Česká republika realizuje a průběžně vyhodnocuje několik cílených projektů přeshraniční migrace: </w:t>
      </w:r>
      <w:proofErr w:type="spellStart"/>
      <w:r w:rsidRPr="00123F38">
        <w:rPr>
          <w:rFonts w:ascii="Arial" w:hAnsi="Arial" w:cs="Arial"/>
          <w:b/>
        </w:rPr>
        <w:t>Fast</w:t>
      </w:r>
      <w:proofErr w:type="spellEnd"/>
      <w:r w:rsidRPr="00123F38">
        <w:rPr>
          <w:rFonts w:ascii="Arial" w:hAnsi="Arial" w:cs="Arial"/>
          <w:b/>
        </w:rPr>
        <w:t xml:space="preserve"> Track, Zácvik, </w:t>
      </w:r>
      <w:proofErr w:type="spellStart"/>
      <w:r w:rsidRPr="00123F38">
        <w:rPr>
          <w:rFonts w:ascii="Arial" w:hAnsi="Arial" w:cs="Arial"/>
          <w:b/>
        </w:rPr>
        <w:t>Welcome</w:t>
      </w:r>
      <w:proofErr w:type="spellEnd"/>
      <w:r w:rsidRPr="00123F38">
        <w:rPr>
          <w:rFonts w:ascii="Arial" w:hAnsi="Arial" w:cs="Arial"/>
          <w:b/>
        </w:rPr>
        <w:t xml:space="preserve"> </w:t>
      </w:r>
      <w:proofErr w:type="spellStart"/>
      <w:r w:rsidRPr="00123F38">
        <w:rPr>
          <w:rFonts w:ascii="Arial" w:hAnsi="Arial" w:cs="Arial"/>
          <w:b/>
        </w:rPr>
        <w:t>Package</w:t>
      </w:r>
      <w:proofErr w:type="spellEnd"/>
      <w:r w:rsidRPr="00123F38">
        <w:rPr>
          <w:rFonts w:ascii="Arial" w:hAnsi="Arial" w:cs="Arial"/>
          <w:b/>
        </w:rPr>
        <w:t>, Režim zvláštního zacházení pro kvalifikované zaměstnance z Ukrajiny a Pilotní projekt Zvláštní postupy pro vysoce kvalifikované zaměstnance z Ukrajiny.</w:t>
      </w:r>
    </w:p>
    <w:p w:rsidR="007A661C" w:rsidRPr="007A661C" w:rsidRDefault="007A661C" w:rsidP="007A661C">
      <w:pPr>
        <w:jc w:val="both"/>
        <w:rPr>
          <w:rFonts w:ascii="Arial" w:hAnsi="Arial" w:cs="Arial"/>
        </w:rPr>
      </w:pPr>
      <w:r w:rsidRPr="007A661C">
        <w:rPr>
          <w:rFonts w:ascii="Arial" w:hAnsi="Arial" w:cs="Arial"/>
        </w:rPr>
        <w:lastRenderedPageBreak/>
        <w:t xml:space="preserve">Na základě vyhodnocení je případně přistupováno k úpravě jednotlivých projektů. Od 1. 5. 2017 došlo k úpravě Režimu zvláštního zacházení pro kvalifikované zaměstnance z Ukrajiny, spočívající v umožnění podávat </w:t>
      </w:r>
      <w:r w:rsidRPr="00123F38">
        <w:rPr>
          <w:rFonts w:ascii="Arial" w:hAnsi="Arial" w:cs="Arial"/>
          <w:b/>
        </w:rPr>
        <w:t>hromadné žádosti v případě 50 a více uchazečů</w:t>
      </w:r>
      <w:r w:rsidRPr="007A661C">
        <w:rPr>
          <w:rFonts w:ascii="Arial" w:hAnsi="Arial" w:cs="Arial"/>
        </w:rPr>
        <w:t xml:space="preserve">. V případě projektu </w:t>
      </w:r>
      <w:proofErr w:type="spellStart"/>
      <w:r w:rsidRPr="007A661C">
        <w:rPr>
          <w:rFonts w:ascii="Arial" w:hAnsi="Arial" w:cs="Arial"/>
        </w:rPr>
        <w:t>Welcome</w:t>
      </w:r>
      <w:proofErr w:type="spellEnd"/>
      <w:r w:rsidRPr="007A661C">
        <w:rPr>
          <w:rFonts w:ascii="Arial" w:hAnsi="Arial" w:cs="Arial"/>
        </w:rPr>
        <w:t xml:space="preserve"> </w:t>
      </w:r>
      <w:proofErr w:type="spellStart"/>
      <w:r w:rsidRPr="007A661C">
        <w:rPr>
          <w:rFonts w:ascii="Arial" w:hAnsi="Arial" w:cs="Arial"/>
        </w:rPr>
        <w:t>Package</w:t>
      </w:r>
      <w:proofErr w:type="spellEnd"/>
      <w:r w:rsidRPr="007A661C">
        <w:rPr>
          <w:rFonts w:ascii="Arial" w:hAnsi="Arial" w:cs="Arial"/>
        </w:rPr>
        <w:t xml:space="preserve">, kde je patrný lehký pokles zájmu, probíhá příprava jeho úpravy, umožňující </w:t>
      </w:r>
      <w:r w:rsidRPr="00123F38">
        <w:rPr>
          <w:rFonts w:ascii="Arial" w:hAnsi="Arial" w:cs="Arial"/>
          <w:b/>
        </w:rPr>
        <w:t>zapojení start-</w:t>
      </w:r>
      <w:proofErr w:type="spellStart"/>
      <w:r w:rsidRPr="00123F38">
        <w:rPr>
          <w:rFonts w:ascii="Arial" w:hAnsi="Arial" w:cs="Arial"/>
          <w:b/>
        </w:rPr>
        <w:t>upů</w:t>
      </w:r>
      <w:proofErr w:type="spellEnd"/>
      <w:r w:rsidRPr="007A661C">
        <w:rPr>
          <w:rFonts w:ascii="Arial" w:hAnsi="Arial" w:cs="Arial"/>
        </w:rPr>
        <w:t>, a tak využití celé jeho kapacity.</w:t>
      </w:r>
    </w:p>
    <w:p w:rsidR="007A661C" w:rsidRPr="007A661C" w:rsidRDefault="007A661C" w:rsidP="007A661C">
      <w:pPr>
        <w:jc w:val="both"/>
        <w:rPr>
          <w:rFonts w:ascii="Arial" w:hAnsi="Arial" w:cs="Arial"/>
        </w:rPr>
      </w:pPr>
      <w:r w:rsidRPr="007A661C">
        <w:rPr>
          <w:rFonts w:ascii="Arial" w:hAnsi="Arial" w:cs="Arial"/>
        </w:rPr>
        <w:t xml:space="preserve">Statistiky jednotlivých projektů za 1. pololetí 2017 dosvědčují, že je v zásadě </w:t>
      </w:r>
      <w:r w:rsidRPr="00123F38">
        <w:rPr>
          <w:rFonts w:ascii="Arial" w:hAnsi="Arial" w:cs="Arial"/>
          <w:b/>
        </w:rPr>
        <w:t>o všechny značný zájem</w:t>
      </w:r>
      <w:r w:rsidRPr="007A661C">
        <w:rPr>
          <w:rFonts w:ascii="Arial" w:hAnsi="Arial" w:cs="Arial"/>
        </w:rPr>
        <w:t xml:space="preserve">, s výjimkou výše uvedeného. Jejich vytíženost je následující: </w:t>
      </w:r>
    </w:p>
    <w:p w:rsidR="007A661C" w:rsidRPr="007A661C" w:rsidRDefault="007A661C" w:rsidP="007A661C">
      <w:pPr>
        <w:pStyle w:val="Odstavecseseznamem"/>
        <w:numPr>
          <w:ilvl w:val="0"/>
          <w:numId w:val="3"/>
        </w:numPr>
        <w:jc w:val="both"/>
        <w:rPr>
          <w:rFonts w:ascii="Arial" w:hAnsi="Arial" w:cs="Arial"/>
        </w:rPr>
      </w:pPr>
      <w:r w:rsidRPr="00123F38">
        <w:rPr>
          <w:rFonts w:ascii="Arial" w:hAnsi="Arial" w:cs="Arial"/>
          <w:b/>
        </w:rPr>
        <w:t>Fast Track:</w:t>
      </w:r>
      <w:r w:rsidRPr="007A661C">
        <w:rPr>
          <w:rFonts w:ascii="Arial" w:hAnsi="Arial" w:cs="Arial"/>
        </w:rPr>
        <w:t xml:space="preserve"> 103 uchazečů, kvóta 180; </w:t>
      </w:r>
    </w:p>
    <w:p w:rsidR="007A661C" w:rsidRPr="007A661C" w:rsidRDefault="007A661C" w:rsidP="007A661C">
      <w:pPr>
        <w:pStyle w:val="Odstavecseseznamem"/>
        <w:numPr>
          <w:ilvl w:val="0"/>
          <w:numId w:val="3"/>
        </w:numPr>
        <w:jc w:val="both"/>
        <w:rPr>
          <w:rFonts w:ascii="Arial" w:hAnsi="Arial" w:cs="Arial"/>
        </w:rPr>
      </w:pPr>
      <w:r w:rsidRPr="00123F38">
        <w:rPr>
          <w:rFonts w:ascii="Arial" w:hAnsi="Arial" w:cs="Arial"/>
          <w:b/>
        </w:rPr>
        <w:t>Zácvik:</w:t>
      </w:r>
      <w:r w:rsidRPr="007A661C">
        <w:rPr>
          <w:rFonts w:ascii="Arial" w:hAnsi="Arial" w:cs="Arial"/>
        </w:rPr>
        <w:t xml:space="preserve"> 40 uchazečů, bez kvóty; </w:t>
      </w:r>
    </w:p>
    <w:p w:rsidR="007A661C" w:rsidRPr="007A661C" w:rsidRDefault="007A661C" w:rsidP="007A661C">
      <w:pPr>
        <w:pStyle w:val="Odstavecseseznamem"/>
        <w:numPr>
          <w:ilvl w:val="0"/>
          <w:numId w:val="3"/>
        </w:numPr>
        <w:jc w:val="both"/>
        <w:rPr>
          <w:rFonts w:ascii="Arial" w:hAnsi="Arial" w:cs="Arial"/>
        </w:rPr>
      </w:pPr>
      <w:proofErr w:type="spellStart"/>
      <w:r w:rsidRPr="00123F38">
        <w:rPr>
          <w:rFonts w:ascii="Arial" w:hAnsi="Arial" w:cs="Arial"/>
          <w:b/>
        </w:rPr>
        <w:t>Welcome</w:t>
      </w:r>
      <w:proofErr w:type="spellEnd"/>
      <w:r w:rsidRPr="00123F38">
        <w:rPr>
          <w:rFonts w:ascii="Arial" w:hAnsi="Arial" w:cs="Arial"/>
          <w:b/>
        </w:rPr>
        <w:t xml:space="preserve"> </w:t>
      </w:r>
      <w:proofErr w:type="spellStart"/>
      <w:r w:rsidRPr="00123F38">
        <w:rPr>
          <w:rFonts w:ascii="Arial" w:hAnsi="Arial" w:cs="Arial"/>
          <w:b/>
        </w:rPr>
        <w:t>Package</w:t>
      </w:r>
      <w:proofErr w:type="spellEnd"/>
      <w:r w:rsidRPr="007A661C">
        <w:rPr>
          <w:rFonts w:ascii="Arial" w:hAnsi="Arial" w:cs="Arial"/>
        </w:rPr>
        <w:t xml:space="preserve">: 6 uchazečů + 7 rodinných příslušníků, kvóta 100; </w:t>
      </w:r>
    </w:p>
    <w:p w:rsidR="007A661C" w:rsidRPr="007A661C" w:rsidRDefault="007A661C" w:rsidP="007A661C">
      <w:pPr>
        <w:pStyle w:val="Odstavecseseznamem"/>
        <w:numPr>
          <w:ilvl w:val="0"/>
          <w:numId w:val="3"/>
        </w:numPr>
        <w:jc w:val="both"/>
        <w:rPr>
          <w:rFonts w:ascii="Arial" w:hAnsi="Arial" w:cs="Arial"/>
        </w:rPr>
      </w:pPr>
      <w:r w:rsidRPr="00123F38">
        <w:rPr>
          <w:rFonts w:ascii="Arial" w:hAnsi="Arial" w:cs="Arial"/>
          <w:b/>
        </w:rPr>
        <w:t>Projekt Ukrajina</w:t>
      </w:r>
      <w:r w:rsidRPr="007A661C">
        <w:rPr>
          <w:rFonts w:ascii="Arial" w:hAnsi="Arial" w:cs="Arial"/>
        </w:rPr>
        <w:t xml:space="preserve">: 314 uchazečů + rodinných příslušníků, kvóta 500; </w:t>
      </w:r>
    </w:p>
    <w:p w:rsidR="007A661C" w:rsidRPr="007A661C" w:rsidRDefault="007A661C" w:rsidP="007A661C">
      <w:pPr>
        <w:pStyle w:val="Odstavecseseznamem"/>
        <w:numPr>
          <w:ilvl w:val="0"/>
          <w:numId w:val="3"/>
        </w:numPr>
        <w:jc w:val="both"/>
        <w:rPr>
          <w:rFonts w:ascii="Arial" w:hAnsi="Arial" w:cs="Arial"/>
        </w:rPr>
      </w:pPr>
      <w:r w:rsidRPr="00123F38">
        <w:rPr>
          <w:rFonts w:ascii="Arial" w:hAnsi="Arial" w:cs="Arial"/>
          <w:b/>
        </w:rPr>
        <w:t>Režim</w:t>
      </w:r>
      <w:r w:rsidRPr="007A661C">
        <w:rPr>
          <w:rFonts w:ascii="Arial" w:hAnsi="Arial" w:cs="Arial"/>
        </w:rPr>
        <w:t>: od spuštění 1. 8. 2016 do 30. 6. 2017 cca 7600 uchazečů od 540 společností; z toho 4097 uchazečů od 1. 1. do 30. 6. 2017, kvóta cca 10 000.</w:t>
      </w:r>
    </w:p>
    <w:p w:rsidR="007A661C" w:rsidRPr="007A661C" w:rsidRDefault="007A661C" w:rsidP="007A661C">
      <w:pPr>
        <w:jc w:val="both"/>
        <w:rPr>
          <w:rFonts w:ascii="Arial" w:hAnsi="Arial" w:cs="Arial"/>
        </w:rPr>
      </w:pPr>
      <w:r w:rsidRPr="007A661C">
        <w:rPr>
          <w:rFonts w:ascii="Arial" w:hAnsi="Arial" w:cs="Arial"/>
        </w:rPr>
        <w:t xml:space="preserve">U obou projektů zaměřených na zaměstnance z Ukrajiny je patrný setrvale vysoký zájem. Pilotní projekt pro vysoce kvalifikované zaměstnance z Ukrajiny je plněn rychleji než v roce 2016, a to zejm. </w:t>
      </w:r>
      <w:r w:rsidRPr="00123F38">
        <w:rPr>
          <w:rFonts w:ascii="Arial" w:hAnsi="Arial" w:cs="Arial"/>
          <w:b/>
        </w:rPr>
        <w:t>odborníky z oblasti IT a zdravotnických profesí.</w:t>
      </w:r>
      <w:r w:rsidRPr="007A661C">
        <w:rPr>
          <w:rFonts w:ascii="Arial" w:hAnsi="Arial" w:cs="Arial"/>
        </w:rPr>
        <w:t xml:space="preserve"> 8. 2. 2017 vláda rozhodla o navýšení </w:t>
      </w:r>
      <w:r w:rsidRPr="00123F38">
        <w:rPr>
          <w:rFonts w:ascii="Arial" w:hAnsi="Arial" w:cs="Arial"/>
          <w:b/>
        </w:rPr>
        <w:t>měsíční kvóty pro příjem žádostí o zaměstnaneckou kartu</w:t>
      </w:r>
      <w:r w:rsidRPr="007A661C">
        <w:rPr>
          <w:rFonts w:ascii="Arial" w:hAnsi="Arial" w:cs="Arial"/>
        </w:rPr>
        <w:t xml:space="preserve"> ze 400 žádostí na 800 </w:t>
      </w:r>
      <w:r>
        <w:rPr>
          <w:rFonts w:ascii="Arial" w:hAnsi="Arial" w:cs="Arial"/>
        </w:rPr>
        <w:t>u</w:t>
      </w:r>
      <w:r w:rsidRPr="007A661C">
        <w:rPr>
          <w:rFonts w:ascii="Arial" w:hAnsi="Arial" w:cs="Arial"/>
        </w:rPr>
        <w:t xml:space="preserve"> „Režimu Ukrajina“. </w:t>
      </w:r>
    </w:p>
    <w:p w:rsidR="007A661C" w:rsidRPr="007A661C" w:rsidRDefault="007A661C" w:rsidP="007A661C">
      <w:pPr>
        <w:jc w:val="both"/>
        <w:rPr>
          <w:rFonts w:ascii="Arial" w:hAnsi="Arial" w:cs="Arial"/>
        </w:rPr>
      </w:pPr>
      <w:r w:rsidRPr="007A661C">
        <w:rPr>
          <w:rFonts w:ascii="Arial" w:hAnsi="Arial" w:cs="Arial"/>
        </w:rPr>
        <w:t xml:space="preserve">Dne 21. srpna 2017 vláda schválila </w:t>
      </w:r>
      <w:r w:rsidRPr="00123F38">
        <w:rPr>
          <w:rFonts w:ascii="Arial" w:hAnsi="Arial" w:cs="Arial"/>
          <w:b/>
        </w:rPr>
        <w:t>nový migrační projekt</w:t>
      </w:r>
      <w:r w:rsidRPr="007A661C">
        <w:rPr>
          <w:rFonts w:ascii="Arial" w:hAnsi="Arial" w:cs="Arial"/>
        </w:rPr>
        <w:t xml:space="preserve"> „</w:t>
      </w:r>
      <w:r w:rsidRPr="00123F38">
        <w:rPr>
          <w:rFonts w:ascii="Arial" w:hAnsi="Arial" w:cs="Arial"/>
          <w:b/>
        </w:rPr>
        <w:t>Zvláštní postupy pro pracovníky do zemědělství a potravinářství z Ukrajiny</w:t>
      </w:r>
      <w:r w:rsidRPr="007A661C">
        <w:rPr>
          <w:rFonts w:ascii="Arial" w:hAnsi="Arial" w:cs="Arial"/>
        </w:rPr>
        <w:t>“, jehož realizace bude zahájena k 1. lednu 201</w:t>
      </w:r>
      <w:r w:rsidR="00123F38">
        <w:rPr>
          <w:rFonts w:ascii="Arial" w:hAnsi="Arial" w:cs="Arial"/>
        </w:rPr>
        <w:t>8</w:t>
      </w:r>
      <w:r w:rsidRPr="007A661C">
        <w:rPr>
          <w:rFonts w:ascii="Arial" w:hAnsi="Arial" w:cs="Arial"/>
        </w:rPr>
        <w:t xml:space="preserve">. Dále bude testováno </w:t>
      </w:r>
      <w:r w:rsidRPr="00123F38">
        <w:rPr>
          <w:rFonts w:ascii="Arial" w:hAnsi="Arial" w:cs="Arial"/>
          <w:b/>
        </w:rPr>
        <w:t>spuštění elektronického systému pro řízení žádostí o azyl, povolení pobytu atd. na internetu</w:t>
      </w:r>
      <w:r w:rsidRPr="007A661C">
        <w:rPr>
          <w:rFonts w:ascii="Arial" w:hAnsi="Arial" w:cs="Arial"/>
        </w:rPr>
        <w:t>, který je určen zejména pro zaměstnance z Ukrajiny.</w:t>
      </w:r>
    </w:p>
    <w:p w:rsidR="007A661C" w:rsidRDefault="007A661C" w:rsidP="007A661C">
      <w:pPr>
        <w:jc w:val="both"/>
        <w:rPr>
          <w:rFonts w:ascii="Arial" w:hAnsi="Arial" w:cs="Arial"/>
        </w:rPr>
      </w:pPr>
      <w:r w:rsidRPr="007A661C">
        <w:rPr>
          <w:rFonts w:ascii="Arial" w:hAnsi="Arial" w:cs="Arial"/>
        </w:rPr>
        <w:t xml:space="preserve">Cizinci, kteří podávají žádosti o pobytová oprávnění v rámci těchto zvláštních migračních nástrojů, vykazují </w:t>
      </w:r>
      <w:r w:rsidRPr="00123F38">
        <w:rPr>
          <w:rFonts w:ascii="Arial" w:hAnsi="Arial" w:cs="Arial"/>
          <w:b/>
        </w:rPr>
        <w:t>zcela minimální neúspěšnost při povolení vstupu na území ČR</w:t>
      </w:r>
      <w:r w:rsidRPr="007A661C">
        <w:rPr>
          <w:rFonts w:ascii="Arial" w:hAnsi="Arial" w:cs="Arial"/>
        </w:rPr>
        <w:t xml:space="preserve"> (zamítnuto je méně než 5 % žádostí, mimo projekty se průměrná míra zamítnutí pohybuje okolo 12 %). </w:t>
      </w:r>
    </w:p>
    <w:p w:rsidR="007A661C" w:rsidRPr="00123F38" w:rsidRDefault="007A661C" w:rsidP="007A661C">
      <w:pPr>
        <w:jc w:val="both"/>
        <w:rPr>
          <w:rFonts w:ascii="Arial" w:hAnsi="Arial" w:cs="Arial"/>
          <w:b/>
          <w:u w:val="single"/>
        </w:rPr>
      </w:pPr>
      <w:r w:rsidRPr="00123F38">
        <w:rPr>
          <w:rFonts w:ascii="Arial" w:hAnsi="Arial" w:cs="Arial"/>
          <w:b/>
          <w:u w:val="single"/>
        </w:rPr>
        <w:t>Kontroly zaměřené na nelegální práci, zastřené zprostředkování zaměstnání a rovné odměňování</w:t>
      </w:r>
    </w:p>
    <w:p w:rsidR="007A661C" w:rsidRPr="00123F38" w:rsidRDefault="007A661C" w:rsidP="007A661C">
      <w:pPr>
        <w:jc w:val="both"/>
        <w:rPr>
          <w:rFonts w:ascii="Arial" w:hAnsi="Arial" w:cs="Arial"/>
          <w:b/>
        </w:rPr>
      </w:pPr>
      <w:r w:rsidRPr="007A661C">
        <w:rPr>
          <w:rFonts w:ascii="Arial" w:hAnsi="Arial" w:cs="Arial"/>
        </w:rPr>
        <w:t xml:space="preserve">Vláda také pokračuje v potírání nelegální práce a tzv. zastřeného zprostředkování zaměstnání, které deformují celkový obraz o trhu práce v ČR. SÚIP zpracoval analýzu výsledků kontrolní činnosti na základě hlavních kontrolních úkolů pro rok 2016, která rovněž obsahuje podrobnou analýzu výstupů kontrol ve sledovaných oblastech. </w:t>
      </w:r>
      <w:r w:rsidRPr="00123F38">
        <w:rPr>
          <w:rFonts w:ascii="Arial" w:hAnsi="Arial" w:cs="Arial"/>
          <w:b/>
        </w:rPr>
        <w:t xml:space="preserve">Výstupy této analýzy byly zveřejněny v průběhu května 2017. </w:t>
      </w:r>
    </w:p>
    <w:p w:rsidR="00123F38" w:rsidRDefault="007A661C" w:rsidP="007A661C">
      <w:pPr>
        <w:jc w:val="both"/>
        <w:rPr>
          <w:rFonts w:ascii="Arial" w:hAnsi="Arial" w:cs="Arial"/>
        </w:rPr>
      </w:pPr>
      <w:r w:rsidRPr="007A661C">
        <w:rPr>
          <w:rFonts w:ascii="Arial" w:hAnsi="Arial" w:cs="Arial"/>
        </w:rPr>
        <w:t xml:space="preserve">V oblasti organizace kontrol nelegálního zaměstnávání byla pro rok 2017 přijata organizační a metodická opatření s cílem efektivního výkonu kontrol. V roce 2016 proběhla mimořádná kontrolní akce zaměřená na oblast zastřené zprostředkování zaměstnání, kdy byly u 2/3 kontrolovaných subjektů zjištěny nedostatky a cca 1/3 kontrolovaných subjektů zprostředkovávala zaměstnání bez povolení. </w:t>
      </w:r>
    </w:p>
    <w:p w:rsidR="00123F38" w:rsidRDefault="00123F38" w:rsidP="007A661C">
      <w:pPr>
        <w:jc w:val="both"/>
        <w:rPr>
          <w:rFonts w:ascii="Arial" w:hAnsi="Arial" w:cs="Arial"/>
        </w:rPr>
      </w:pPr>
    </w:p>
    <w:p w:rsidR="007A661C" w:rsidRPr="00123F38" w:rsidRDefault="007A661C" w:rsidP="007A661C">
      <w:pPr>
        <w:jc w:val="both"/>
        <w:rPr>
          <w:rFonts w:ascii="Arial" w:hAnsi="Arial" w:cs="Arial"/>
          <w:b/>
        </w:rPr>
      </w:pPr>
      <w:r w:rsidRPr="007A661C">
        <w:rPr>
          <w:rFonts w:ascii="Arial" w:hAnsi="Arial" w:cs="Arial"/>
        </w:rPr>
        <w:lastRenderedPageBreak/>
        <w:t xml:space="preserve">Výsledky kontrol agentur práce i zastřených agentur potvrdily </w:t>
      </w:r>
      <w:r w:rsidRPr="00123F38">
        <w:rPr>
          <w:rFonts w:ascii="Arial" w:hAnsi="Arial" w:cs="Arial"/>
          <w:b/>
        </w:rPr>
        <w:t>nárůst využívání zastřeného agenturního zaměstnávání, a to zejména v oblasti zaměstnávání cizinců ze zemí mimo Evropskou unii</w:t>
      </w:r>
      <w:r w:rsidRPr="007A661C">
        <w:rPr>
          <w:rFonts w:ascii="Arial" w:hAnsi="Arial" w:cs="Arial"/>
        </w:rPr>
        <w:t xml:space="preserve">. Z výše uvedených důvodů byly kontroly zaměřené na oblast odhalování zprostředkování zaměstnání bez povolení (tedy tzv. zastřené zprostředkování zaměstnání) zařazeny pro rok 2017 jako </w:t>
      </w:r>
      <w:r w:rsidRPr="00123F38">
        <w:rPr>
          <w:rFonts w:ascii="Arial" w:hAnsi="Arial" w:cs="Arial"/>
          <w:b/>
        </w:rPr>
        <w:t>samostatný hlavní úkol.</w:t>
      </w:r>
    </w:p>
    <w:p w:rsidR="007A661C" w:rsidRPr="007A661C" w:rsidRDefault="007A661C" w:rsidP="007A661C">
      <w:pPr>
        <w:jc w:val="both"/>
        <w:rPr>
          <w:rFonts w:ascii="Arial" w:hAnsi="Arial" w:cs="Arial"/>
        </w:rPr>
      </w:pPr>
      <w:r w:rsidRPr="007A661C">
        <w:rPr>
          <w:rFonts w:ascii="Arial" w:hAnsi="Arial" w:cs="Arial"/>
        </w:rPr>
        <w:t xml:space="preserve">Kontrolní činnost SÚIP je realizována v plném rozsahu dle zadání. Do 30. 6. 2017 bylo provedeno celkem </w:t>
      </w:r>
      <w:r w:rsidRPr="00123F38">
        <w:rPr>
          <w:rFonts w:ascii="Arial" w:hAnsi="Arial" w:cs="Arial"/>
          <w:b/>
        </w:rPr>
        <w:t>5 085 kontrol zaměřených na nelegální zaměstnávání</w:t>
      </w:r>
      <w:r w:rsidRPr="007A661C">
        <w:rPr>
          <w:rFonts w:ascii="Arial" w:hAnsi="Arial" w:cs="Arial"/>
        </w:rPr>
        <w:t xml:space="preserve">, jimiž bylo zjištěno </w:t>
      </w:r>
      <w:r w:rsidRPr="00123F38">
        <w:rPr>
          <w:rFonts w:ascii="Arial" w:hAnsi="Arial" w:cs="Arial"/>
          <w:b/>
        </w:rPr>
        <w:t>1 270 nelegálně zaměstnaných osob, z toho 383 občanů ČR, 140 občanů EU a 751 cizinců mimo EU</w:t>
      </w:r>
      <w:r w:rsidRPr="007A661C">
        <w:rPr>
          <w:rFonts w:ascii="Arial" w:hAnsi="Arial" w:cs="Arial"/>
        </w:rPr>
        <w:t xml:space="preserve">.  V oblasti agenturního zaměstnávání bylo dokončeno </w:t>
      </w:r>
      <w:r w:rsidRPr="00123F38">
        <w:rPr>
          <w:rFonts w:ascii="Arial" w:hAnsi="Arial" w:cs="Arial"/>
          <w:b/>
        </w:rPr>
        <w:t>519 kontrol</w:t>
      </w:r>
      <w:r w:rsidRPr="007A661C">
        <w:rPr>
          <w:rFonts w:ascii="Arial" w:hAnsi="Arial" w:cs="Arial"/>
        </w:rPr>
        <w:t xml:space="preserve">. Z tohoto počtu bylo na oblast zastřeného zprostředkování zaměstnání zaměřeno 220 kontrol. Počet plánovaných kontrol v oblasti nelegálního zaměstnávání je v roce 2017 stanoven na 8 500 kontrol. Plánovaných počet kontrol zaměřených na zastřené zprostředkování zaměstnání je v roce 2017 stanoven na 140 kontrol, tj. minimálně 10 kontrol v rámci místní působnosti každého z oblastních inspektorátů práce.  </w:t>
      </w:r>
    </w:p>
    <w:p w:rsidR="007A661C" w:rsidRPr="00123F38" w:rsidRDefault="007A661C" w:rsidP="007A661C">
      <w:pPr>
        <w:jc w:val="both"/>
        <w:rPr>
          <w:rFonts w:ascii="Arial" w:hAnsi="Arial" w:cs="Arial"/>
          <w:b/>
        </w:rPr>
      </w:pPr>
      <w:r w:rsidRPr="00123F38">
        <w:rPr>
          <w:rFonts w:ascii="Arial" w:hAnsi="Arial" w:cs="Arial"/>
          <w:b/>
        </w:rPr>
        <w:t>V prvním pololetí roku 2017 byly zaměstnavatelům za spáchané správní delikty v daných oblastech uloženy pokuty v celkové výši 135 000 Kč.</w:t>
      </w:r>
    </w:p>
    <w:p w:rsidR="007A661C" w:rsidRDefault="007A661C" w:rsidP="007A661C">
      <w:pPr>
        <w:jc w:val="both"/>
        <w:rPr>
          <w:rFonts w:ascii="Arial" w:hAnsi="Arial" w:cs="Arial"/>
        </w:rPr>
      </w:pPr>
      <w:r w:rsidRPr="007A661C">
        <w:rPr>
          <w:rFonts w:ascii="Arial" w:hAnsi="Arial" w:cs="Arial"/>
        </w:rPr>
        <w:t xml:space="preserve">Stejně tak probíhala kontrolní činnost zaměřená na rovné odměňování. V prvním pololetí roku 2017 provedly oblastní inspektoráty práce celkem </w:t>
      </w:r>
      <w:r w:rsidRPr="00123F38">
        <w:rPr>
          <w:rFonts w:ascii="Arial" w:hAnsi="Arial" w:cs="Arial"/>
          <w:b/>
        </w:rPr>
        <w:t>178 kontrol zaměřených na dodržování povinností v oblasti rovného zacházení a zákazu diskriminace, včetně oblasti rovného odměňování</w:t>
      </w:r>
      <w:r w:rsidRPr="007A661C">
        <w:rPr>
          <w:rFonts w:ascii="Arial" w:hAnsi="Arial" w:cs="Arial"/>
        </w:rPr>
        <w:t xml:space="preserve">, kdy 19 z těchto provedených kontrol bylo cíleně zaměřeno na rovné odměňování mužů a žen. Celkem bylo v prvním pololetí roku 2017 </w:t>
      </w:r>
      <w:r w:rsidRPr="00123F38">
        <w:rPr>
          <w:rFonts w:ascii="Arial" w:hAnsi="Arial" w:cs="Arial"/>
          <w:b/>
        </w:rPr>
        <w:t>při 54 kontrolách oblastních inspektorátů práce zjištěno porušení pracovněprávních předpisů</w:t>
      </w:r>
      <w:r w:rsidRPr="007A661C">
        <w:rPr>
          <w:rFonts w:ascii="Arial" w:hAnsi="Arial" w:cs="Arial"/>
        </w:rPr>
        <w:t xml:space="preserve"> spočívající</w:t>
      </w:r>
      <w:r w:rsidR="00123F38">
        <w:rPr>
          <w:rFonts w:ascii="Arial" w:hAnsi="Arial" w:cs="Arial"/>
        </w:rPr>
        <w:t>ch</w:t>
      </w:r>
      <w:r w:rsidRPr="007A661C">
        <w:rPr>
          <w:rFonts w:ascii="Arial" w:hAnsi="Arial" w:cs="Arial"/>
        </w:rPr>
        <w:t xml:space="preserve"> v nedodržení zásady rovného zacházení, včetně rovného zacházení v oblasti odměňování zaměstnanců, nebo neposkytnutí stejné odměny za stejnou práci nebo práci stejné hodnoty.</w:t>
      </w:r>
    </w:p>
    <w:p w:rsidR="007A661C" w:rsidRPr="00123F38" w:rsidRDefault="007A661C" w:rsidP="007A661C">
      <w:pPr>
        <w:jc w:val="both"/>
        <w:rPr>
          <w:rFonts w:ascii="Arial" w:hAnsi="Arial" w:cs="Arial"/>
          <w:b/>
          <w:u w:val="single"/>
        </w:rPr>
      </w:pPr>
      <w:r w:rsidRPr="00123F38">
        <w:rPr>
          <w:rFonts w:ascii="Arial" w:hAnsi="Arial" w:cs="Arial"/>
          <w:b/>
          <w:u w:val="single"/>
        </w:rPr>
        <w:t>Soulad kvalifikačních potřeb a obsahu vzdělávání</w:t>
      </w:r>
    </w:p>
    <w:p w:rsidR="007A661C" w:rsidRPr="007A661C" w:rsidRDefault="007A661C" w:rsidP="007A661C">
      <w:pPr>
        <w:jc w:val="both"/>
        <w:rPr>
          <w:rFonts w:ascii="Arial" w:hAnsi="Arial" w:cs="Arial"/>
        </w:rPr>
      </w:pPr>
      <w:r w:rsidRPr="007A661C">
        <w:rPr>
          <w:rFonts w:ascii="Arial" w:hAnsi="Arial" w:cs="Arial"/>
        </w:rPr>
        <w:t>MPSV a MŠMT zároveň pracují na dlouhodobých opatřeních, která umožní snáze predikovat vývoj na trhu práce a lépe reagovat na kvalifikační potřeby. Jedním z nejdůležitějších nástrojů je spolupráce škol a praxe.</w:t>
      </w:r>
    </w:p>
    <w:p w:rsidR="007A661C" w:rsidRPr="007A661C" w:rsidRDefault="007A661C" w:rsidP="007A661C">
      <w:pPr>
        <w:jc w:val="both"/>
        <w:rPr>
          <w:rFonts w:ascii="Arial" w:hAnsi="Arial" w:cs="Arial"/>
        </w:rPr>
      </w:pPr>
      <w:r w:rsidRPr="007A661C">
        <w:rPr>
          <w:rFonts w:ascii="Arial" w:hAnsi="Arial" w:cs="Arial"/>
        </w:rPr>
        <w:t>Předvídání kvalifikačních potřeb na trhu práce je cílem projektu "</w:t>
      </w:r>
      <w:r w:rsidRPr="00123F38">
        <w:rPr>
          <w:rFonts w:ascii="Arial" w:hAnsi="Arial" w:cs="Arial"/>
          <w:b/>
        </w:rPr>
        <w:t>Predikce trhu práce -Kompas</w:t>
      </w:r>
      <w:r w:rsidRPr="007A661C">
        <w:rPr>
          <w:rFonts w:ascii="Arial" w:hAnsi="Arial" w:cs="Arial"/>
        </w:rPr>
        <w:t>".  V</w:t>
      </w:r>
      <w:r w:rsidR="00123F38">
        <w:rPr>
          <w:rFonts w:ascii="Arial" w:hAnsi="Arial" w:cs="Arial"/>
        </w:rPr>
        <w:t xml:space="preserve"> prvním pololetí </w:t>
      </w:r>
      <w:r w:rsidRPr="007A661C">
        <w:rPr>
          <w:rFonts w:ascii="Arial" w:hAnsi="Arial" w:cs="Arial"/>
        </w:rPr>
        <w:t xml:space="preserve">2017 byly zahájeny práce v jednotlivých krajích </w:t>
      </w:r>
      <w:r w:rsidR="00123F38">
        <w:rPr>
          <w:rFonts w:ascii="Arial" w:hAnsi="Arial" w:cs="Arial"/>
        </w:rPr>
        <w:t>i na celorepublikové úrovni tak,</w:t>
      </w:r>
      <w:r w:rsidRPr="007A661C">
        <w:rPr>
          <w:rFonts w:ascii="Arial" w:hAnsi="Arial" w:cs="Arial"/>
        </w:rPr>
        <w:t xml:space="preserve"> aby výsledek respektoval jednotlivá regionální specifika a zároveň vytvořil souhrnný celkový predikční model pro předvídání potřeb trhu práce. Byly vybrány sektory, kterými bude celkový predikční model kvalitativně doplněn. Byly zahájeny práce na zpracování odborných studií vybraných sektorů. Průběžně je řešen vstup relevantních dat a informací. </w:t>
      </w:r>
      <w:r w:rsidRPr="00123F38">
        <w:rPr>
          <w:rFonts w:ascii="Arial" w:hAnsi="Arial" w:cs="Arial"/>
          <w:b/>
        </w:rPr>
        <w:t>Cílový stav lze očekávat koncem roku 2020</w:t>
      </w:r>
      <w:r w:rsidRPr="007A661C">
        <w:rPr>
          <w:rFonts w:ascii="Arial" w:hAnsi="Arial" w:cs="Arial"/>
        </w:rPr>
        <w:t>.</w:t>
      </w:r>
    </w:p>
    <w:p w:rsidR="00123F38" w:rsidRDefault="007A661C" w:rsidP="007A661C">
      <w:pPr>
        <w:jc w:val="both"/>
        <w:rPr>
          <w:rFonts w:ascii="Arial" w:hAnsi="Arial" w:cs="Arial"/>
        </w:rPr>
      </w:pPr>
      <w:r w:rsidRPr="007A661C">
        <w:rPr>
          <w:rFonts w:ascii="Arial" w:hAnsi="Arial" w:cs="Arial"/>
        </w:rPr>
        <w:t xml:space="preserve">Ministerstvo školství, mládeže a tělovýchovy iniciovalo </w:t>
      </w:r>
      <w:r w:rsidRPr="00123F38">
        <w:rPr>
          <w:rFonts w:ascii="Arial" w:hAnsi="Arial" w:cs="Arial"/>
          <w:b/>
        </w:rPr>
        <w:t>uzavření dohody mezi zástupci zaměstnavatelů</w:t>
      </w:r>
      <w:r w:rsidRPr="007A661C">
        <w:rPr>
          <w:rFonts w:ascii="Arial" w:hAnsi="Arial" w:cs="Arial"/>
        </w:rPr>
        <w:t xml:space="preserve"> (Hospodářská komora ČR, Svaz průmyslu a dopravy ČR, Agrární komora ČR a Konfederace zaměstnavatelských a podnikatelských svazů) </w:t>
      </w:r>
      <w:r w:rsidRPr="00123F38">
        <w:rPr>
          <w:rFonts w:ascii="Arial" w:hAnsi="Arial" w:cs="Arial"/>
          <w:b/>
        </w:rPr>
        <w:t>o rozdělení odpovědnosti za jednotlivé oblastí počátečního odborného vzdělávání</w:t>
      </w:r>
      <w:r w:rsidRPr="007A661C">
        <w:rPr>
          <w:rFonts w:ascii="Arial" w:hAnsi="Arial" w:cs="Arial"/>
        </w:rPr>
        <w:t xml:space="preserve"> v souladu s nařízení</w:t>
      </w:r>
      <w:r w:rsidR="00123F38">
        <w:rPr>
          <w:rFonts w:ascii="Arial" w:hAnsi="Arial" w:cs="Arial"/>
        </w:rPr>
        <w:t xml:space="preserve">m vlády č. 211/2010 Sb. </w:t>
      </w:r>
    </w:p>
    <w:p w:rsidR="007A661C" w:rsidRPr="007A661C" w:rsidRDefault="00123F38" w:rsidP="007A661C">
      <w:pPr>
        <w:jc w:val="both"/>
        <w:rPr>
          <w:rFonts w:ascii="Arial" w:hAnsi="Arial" w:cs="Arial"/>
        </w:rPr>
      </w:pPr>
      <w:r>
        <w:rPr>
          <w:rFonts w:ascii="Arial" w:hAnsi="Arial" w:cs="Arial"/>
        </w:rPr>
        <w:lastRenderedPageBreak/>
        <w:t>Jedním z</w:t>
      </w:r>
      <w:r w:rsidR="007A661C" w:rsidRPr="007A661C">
        <w:rPr>
          <w:rFonts w:ascii="Arial" w:hAnsi="Arial" w:cs="Arial"/>
        </w:rPr>
        <w:t xml:space="preserve">e záměrů je </w:t>
      </w:r>
      <w:r w:rsidR="007A661C" w:rsidRPr="00123F38">
        <w:rPr>
          <w:rFonts w:ascii="Arial" w:hAnsi="Arial" w:cs="Arial"/>
          <w:b/>
        </w:rPr>
        <w:t>vytváření informačních center spolupráce firem se školami</w:t>
      </w:r>
      <w:r w:rsidR="007A661C" w:rsidRPr="007A661C">
        <w:rPr>
          <w:rFonts w:ascii="Arial" w:hAnsi="Arial" w:cs="Arial"/>
        </w:rPr>
        <w:t xml:space="preserve"> na regionální úrovni s využitím dostupné infrastruktury, kterou zaměstnavatelské svazy v regionech mají. Vytváření center je podpořeno v rámci výzvy OP VVV Budování kapacit pro rozvoj škol I. </w:t>
      </w:r>
    </w:p>
    <w:p w:rsidR="007A661C" w:rsidRPr="007A661C" w:rsidRDefault="007A661C" w:rsidP="007A661C">
      <w:pPr>
        <w:jc w:val="both"/>
        <w:rPr>
          <w:rFonts w:ascii="Arial" w:hAnsi="Arial" w:cs="Arial"/>
        </w:rPr>
      </w:pPr>
      <w:r w:rsidRPr="007A661C">
        <w:rPr>
          <w:rFonts w:ascii="Arial" w:hAnsi="Arial" w:cs="Arial"/>
        </w:rPr>
        <w:t xml:space="preserve">Vzhledem k zvyšujícímu se zájmu ze strany zaměstnavatelů o </w:t>
      </w:r>
      <w:r w:rsidRPr="00123F38">
        <w:rPr>
          <w:rFonts w:ascii="Arial" w:hAnsi="Arial" w:cs="Arial"/>
          <w:b/>
        </w:rPr>
        <w:t>prohlubování spolupráce se středními školami</w:t>
      </w:r>
      <w:r w:rsidRPr="007A661C">
        <w:rPr>
          <w:rFonts w:ascii="Arial" w:hAnsi="Arial" w:cs="Arial"/>
        </w:rPr>
        <w:t xml:space="preserve"> pracuje MŠMT na dokumentu, který bude obsahovat </w:t>
      </w:r>
      <w:r w:rsidRPr="00123F38">
        <w:rPr>
          <w:rFonts w:ascii="Arial" w:hAnsi="Arial" w:cs="Arial"/>
          <w:b/>
        </w:rPr>
        <w:t>veškeré informace pro zaměstnavatele od oslovení školy až po realizaci spolupráce</w:t>
      </w:r>
      <w:r w:rsidRPr="007A661C">
        <w:rPr>
          <w:rFonts w:ascii="Arial" w:hAnsi="Arial" w:cs="Arial"/>
        </w:rPr>
        <w:t>. Při zpracovávání materiálu jsou využívány výstupy projektu POSPOLU. Návrh materiálu bude zaslán zaměstnavatelským svazům k případnému doplnění témat důležitých z jejich strany.</w:t>
      </w:r>
    </w:p>
    <w:p w:rsidR="00AA66F5" w:rsidRDefault="007A661C" w:rsidP="007A661C">
      <w:pPr>
        <w:jc w:val="both"/>
        <w:rPr>
          <w:rFonts w:ascii="Arial" w:hAnsi="Arial" w:cs="Arial"/>
        </w:rPr>
      </w:pPr>
      <w:r w:rsidRPr="00123F38">
        <w:rPr>
          <w:rFonts w:ascii="Arial" w:hAnsi="Arial" w:cs="Arial"/>
          <w:b/>
        </w:rPr>
        <w:t>V květnu 2017 byla zahájena realizace projektu Modernizace odborného vzdělávání</w:t>
      </w:r>
      <w:r w:rsidRPr="007A661C">
        <w:rPr>
          <w:rFonts w:ascii="Arial" w:hAnsi="Arial" w:cs="Arial"/>
        </w:rPr>
        <w:t>, který se zaměří na možností rozšiřování realizace odborného výcviku a odborné praxe v ŠVP ve spolupráci se zaměstnavateli s důrazem na zajištění jejich kvality. K tomu, aby byla zajištěna kvalita, byly zahájeny činnosti na tvorbě standardů praktického vyučování u zaměstnavatelů v návaznosti na výstupy projektu POSPOLU a implementací významných prvků ECVET do vzdělávacího systému.</w:t>
      </w:r>
    </w:p>
    <w:p w:rsidR="00123F38" w:rsidRDefault="00123F38" w:rsidP="007A661C">
      <w:pPr>
        <w:jc w:val="both"/>
        <w:rPr>
          <w:rFonts w:ascii="Arial" w:hAnsi="Arial" w:cs="Arial"/>
        </w:rPr>
      </w:pPr>
      <w:r>
        <w:rPr>
          <w:rFonts w:ascii="Arial" w:hAnsi="Arial" w:cs="Arial"/>
        </w:rPr>
        <w:t>Splněná opatření:</w:t>
      </w:r>
    </w:p>
    <w:tbl>
      <w:tblPr>
        <w:tblStyle w:val="Mkatabulky"/>
        <w:tblW w:w="0" w:type="auto"/>
        <w:tblLook w:val="04A0"/>
      </w:tblPr>
      <w:tblGrid>
        <w:gridCol w:w="817"/>
        <w:gridCol w:w="851"/>
        <w:gridCol w:w="2976"/>
        <w:gridCol w:w="993"/>
        <w:gridCol w:w="3575"/>
      </w:tblGrid>
      <w:tr w:rsidR="00123F38" w:rsidTr="00123F38">
        <w:tc>
          <w:tcPr>
            <w:tcW w:w="817" w:type="dxa"/>
          </w:tcPr>
          <w:p w:rsidR="00123F38" w:rsidRDefault="00123F38" w:rsidP="007A661C">
            <w:pPr>
              <w:jc w:val="both"/>
              <w:rPr>
                <w:rFonts w:ascii="Arial" w:hAnsi="Arial" w:cs="Arial"/>
              </w:rPr>
            </w:pPr>
            <w:r w:rsidRPr="00123F38">
              <w:rPr>
                <w:rFonts w:ascii="Arial" w:hAnsi="Arial" w:cs="Arial"/>
              </w:rPr>
              <w:t>ETP2</w:t>
            </w:r>
          </w:p>
        </w:tc>
        <w:tc>
          <w:tcPr>
            <w:tcW w:w="851" w:type="dxa"/>
          </w:tcPr>
          <w:p w:rsidR="00123F38" w:rsidRDefault="00123F38" w:rsidP="007A661C">
            <w:pPr>
              <w:jc w:val="both"/>
              <w:rPr>
                <w:rFonts w:ascii="Arial" w:hAnsi="Arial" w:cs="Arial"/>
              </w:rPr>
            </w:pPr>
            <w:r w:rsidRPr="00123F38">
              <w:rPr>
                <w:rFonts w:ascii="Arial" w:hAnsi="Arial" w:cs="Arial"/>
              </w:rPr>
              <w:t>MPSV</w:t>
            </w:r>
            <w:r w:rsidRPr="00123F38">
              <w:rPr>
                <w:rFonts w:ascii="Arial" w:hAnsi="Arial" w:cs="Arial"/>
              </w:rPr>
              <w:tab/>
            </w:r>
          </w:p>
        </w:tc>
        <w:tc>
          <w:tcPr>
            <w:tcW w:w="2976" w:type="dxa"/>
          </w:tcPr>
          <w:p w:rsidR="00123F38" w:rsidRDefault="00123F38" w:rsidP="007A661C">
            <w:pPr>
              <w:jc w:val="both"/>
              <w:rPr>
                <w:rFonts w:ascii="Arial" w:hAnsi="Arial" w:cs="Arial"/>
              </w:rPr>
            </w:pPr>
            <w:r w:rsidRPr="00123F38">
              <w:rPr>
                <w:rFonts w:ascii="Arial" w:hAnsi="Arial" w:cs="Arial"/>
              </w:rPr>
              <w:t>Předložení návrhu novelizace nařízení vlády o minimální mzdě</w:t>
            </w:r>
          </w:p>
        </w:tc>
        <w:tc>
          <w:tcPr>
            <w:tcW w:w="993" w:type="dxa"/>
          </w:tcPr>
          <w:p w:rsidR="00123F38" w:rsidRPr="00123F38" w:rsidRDefault="00123F38" w:rsidP="00123F38">
            <w:pPr>
              <w:jc w:val="both"/>
              <w:rPr>
                <w:rFonts w:ascii="Arial" w:hAnsi="Arial" w:cs="Arial"/>
              </w:rPr>
            </w:pPr>
            <w:r w:rsidRPr="00123F38">
              <w:rPr>
                <w:rFonts w:ascii="Arial" w:hAnsi="Arial" w:cs="Arial"/>
              </w:rPr>
              <w:t>VI/2017</w:t>
            </w:r>
          </w:p>
          <w:p w:rsidR="00123F38" w:rsidRDefault="00123F38" w:rsidP="007A661C">
            <w:pPr>
              <w:jc w:val="both"/>
              <w:rPr>
                <w:rFonts w:ascii="Arial" w:hAnsi="Arial" w:cs="Arial"/>
              </w:rPr>
            </w:pPr>
          </w:p>
        </w:tc>
        <w:tc>
          <w:tcPr>
            <w:tcW w:w="3575" w:type="dxa"/>
          </w:tcPr>
          <w:p w:rsidR="00123F38" w:rsidRDefault="00123F38" w:rsidP="007A661C">
            <w:pPr>
              <w:jc w:val="both"/>
              <w:rPr>
                <w:rFonts w:ascii="Arial" w:hAnsi="Arial" w:cs="Arial"/>
              </w:rPr>
            </w:pPr>
            <w:r>
              <w:rPr>
                <w:rFonts w:ascii="Arial" w:hAnsi="Arial" w:cs="Arial"/>
              </w:rPr>
              <w:t xml:space="preserve">Splněno. </w:t>
            </w:r>
            <w:r w:rsidRPr="00123F38">
              <w:rPr>
                <w:rFonts w:ascii="Arial" w:hAnsi="Arial" w:cs="Arial"/>
              </w:rPr>
              <w:t>Vládou schváleno dne 21. srpna 2017 (usnesení č. 570/2017). Dne 30.6.2017 projednáno tripartitou.</w:t>
            </w:r>
          </w:p>
        </w:tc>
      </w:tr>
    </w:tbl>
    <w:p w:rsidR="00123F38" w:rsidRDefault="00123F38" w:rsidP="007A661C">
      <w:pPr>
        <w:jc w:val="both"/>
        <w:rPr>
          <w:rFonts w:ascii="Arial" w:hAnsi="Arial" w:cs="Arial"/>
        </w:rPr>
      </w:pPr>
    </w:p>
    <w:p w:rsidR="00123F38" w:rsidRPr="00123F38" w:rsidRDefault="00123F38" w:rsidP="00123F38">
      <w:pPr>
        <w:jc w:val="both"/>
        <w:rPr>
          <w:rFonts w:ascii="Arial" w:hAnsi="Arial" w:cs="Arial"/>
        </w:rPr>
      </w:pPr>
      <w:r w:rsidRPr="00123F38">
        <w:rPr>
          <w:rFonts w:ascii="Arial" w:hAnsi="Arial" w:cs="Arial"/>
        </w:rPr>
        <w:tab/>
      </w:r>
      <w:r w:rsidRPr="00123F38">
        <w:rPr>
          <w:rFonts w:ascii="Arial" w:hAnsi="Arial" w:cs="Arial"/>
        </w:rPr>
        <w:tab/>
      </w:r>
      <w:r w:rsidRPr="00123F38">
        <w:rPr>
          <w:rFonts w:ascii="Arial" w:hAnsi="Arial" w:cs="Arial"/>
        </w:rPr>
        <w:tab/>
      </w:r>
      <w:r>
        <w:rPr>
          <w:rFonts w:ascii="Arial" w:hAnsi="Arial" w:cs="Arial"/>
        </w:rPr>
        <w:tab/>
      </w:r>
    </w:p>
    <w:p w:rsidR="00123F38" w:rsidRPr="00123F38" w:rsidRDefault="00123F38" w:rsidP="00123F38">
      <w:pPr>
        <w:jc w:val="both"/>
        <w:rPr>
          <w:rFonts w:ascii="Arial" w:hAnsi="Arial" w:cs="Arial"/>
        </w:rPr>
      </w:pPr>
    </w:p>
    <w:p w:rsidR="00123F38" w:rsidRDefault="00123F38" w:rsidP="007A661C">
      <w:pPr>
        <w:jc w:val="both"/>
        <w:rPr>
          <w:rFonts w:ascii="Arial" w:hAnsi="Arial" w:cs="Arial"/>
        </w:rPr>
      </w:pPr>
    </w:p>
    <w:p w:rsidR="006A4FCA" w:rsidRDefault="006A4FCA" w:rsidP="007A661C">
      <w:pPr>
        <w:jc w:val="both"/>
        <w:rPr>
          <w:rFonts w:ascii="Arial" w:hAnsi="Arial" w:cs="Arial"/>
        </w:rPr>
      </w:pPr>
    </w:p>
    <w:p w:rsidR="006A4FCA" w:rsidRDefault="006A4FCA" w:rsidP="007A661C">
      <w:pPr>
        <w:jc w:val="both"/>
        <w:rPr>
          <w:rFonts w:ascii="Arial" w:hAnsi="Arial" w:cs="Arial"/>
        </w:rPr>
      </w:pPr>
    </w:p>
    <w:p w:rsidR="006A4FCA" w:rsidRDefault="006A4FCA" w:rsidP="007A661C">
      <w:pPr>
        <w:jc w:val="both"/>
        <w:rPr>
          <w:rFonts w:ascii="Arial" w:hAnsi="Arial" w:cs="Arial"/>
        </w:rPr>
      </w:pPr>
    </w:p>
    <w:p w:rsidR="006A4FCA" w:rsidRDefault="006A4FCA" w:rsidP="007A661C">
      <w:pPr>
        <w:jc w:val="both"/>
        <w:rPr>
          <w:rFonts w:ascii="Arial" w:hAnsi="Arial" w:cs="Arial"/>
        </w:rPr>
      </w:pPr>
    </w:p>
    <w:p w:rsidR="006A4FCA" w:rsidRDefault="006A4FCA" w:rsidP="007A661C">
      <w:pPr>
        <w:jc w:val="both"/>
        <w:rPr>
          <w:rFonts w:ascii="Arial" w:hAnsi="Arial" w:cs="Arial"/>
        </w:rPr>
      </w:pPr>
    </w:p>
    <w:p w:rsidR="006A4FCA" w:rsidRDefault="006A4FCA" w:rsidP="007A661C">
      <w:pPr>
        <w:jc w:val="both"/>
        <w:rPr>
          <w:rFonts w:ascii="Arial" w:hAnsi="Arial" w:cs="Arial"/>
        </w:rPr>
      </w:pPr>
    </w:p>
    <w:p w:rsidR="006A4FCA" w:rsidRDefault="006A4FCA" w:rsidP="007A661C">
      <w:pPr>
        <w:jc w:val="both"/>
        <w:rPr>
          <w:rFonts w:ascii="Arial" w:hAnsi="Arial" w:cs="Arial"/>
        </w:rPr>
      </w:pPr>
    </w:p>
    <w:p w:rsidR="006A4FCA" w:rsidRDefault="006A4FCA" w:rsidP="007A661C">
      <w:pPr>
        <w:jc w:val="both"/>
        <w:rPr>
          <w:rFonts w:ascii="Arial" w:hAnsi="Arial" w:cs="Arial"/>
        </w:rPr>
      </w:pPr>
    </w:p>
    <w:p w:rsidR="006A4FCA" w:rsidRDefault="006A4FCA" w:rsidP="007A661C">
      <w:pPr>
        <w:jc w:val="both"/>
        <w:rPr>
          <w:rFonts w:ascii="Arial" w:hAnsi="Arial" w:cs="Arial"/>
        </w:rPr>
      </w:pPr>
    </w:p>
    <w:p w:rsidR="006A4FCA" w:rsidRDefault="006A4FCA" w:rsidP="007A661C">
      <w:pPr>
        <w:jc w:val="both"/>
        <w:rPr>
          <w:rFonts w:ascii="Arial" w:hAnsi="Arial" w:cs="Arial"/>
        </w:rPr>
      </w:pPr>
    </w:p>
    <w:p w:rsidR="006A4FCA" w:rsidRDefault="006A4FCA" w:rsidP="007A661C">
      <w:pPr>
        <w:jc w:val="both"/>
        <w:rPr>
          <w:rFonts w:ascii="Arial" w:hAnsi="Arial" w:cs="Arial"/>
        </w:rPr>
      </w:pPr>
    </w:p>
    <w:p w:rsidR="006A4FCA" w:rsidRPr="006A4FCA" w:rsidRDefault="006A4FCA" w:rsidP="006A4FCA">
      <w:pPr>
        <w:pBdr>
          <w:top w:val="single" w:sz="4" w:space="1" w:color="auto"/>
          <w:left w:val="single" w:sz="4" w:space="4" w:color="auto"/>
          <w:bottom w:val="single" w:sz="4" w:space="1" w:color="auto"/>
          <w:right w:val="single" w:sz="4" w:space="4" w:color="auto"/>
        </w:pBdr>
        <w:jc w:val="center"/>
        <w:rPr>
          <w:rFonts w:ascii="Arial" w:hAnsi="Arial" w:cs="Arial"/>
          <w:b/>
        </w:rPr>
      </w:pPr>
      <w:r w:rsidRPr="006A4FCA">
        <w:rPr>
          <w:rFonts w:ascii="Arial" w:hAnsi="Arial" w:cs="Arial"/>
          <w:b/>
        </w:rPr>
        <w:lastRenderedPageBreak/>
        <w:t>CÍL: Efektivní výkon státní správy (ESS)</w:t>
      </w:r>
    </w:p>
    <w:p w:rsidR="006A4FCA" w:rsidRPr="006A4FCA" w:rsidRDefault="006A4FCA" w:rsidP="006A4FCA">
      <w:pPr>
        <w:pBdr>
          <w:top w:val="single" w:sz="4" w:space="1" w:color="auto"/>
          <w:left w:val="single" w:sz="4" w:space="4" w:color="auto"/>
          <w:bottom w:val="single" w:sz="4" w:space="1" w:color="auto"/>
          <w:right w:val="single" w:sz="4" w:space="4" w:color="auto"/>
        </w:pBdr>
        <w:jc w:val="center"/>
        <w:rPr>
          <w:rFonts w:ascii="Arial" w:hAnsi="Arial" w:cs="Arial"/>
          <w:i/>
        </w:rPr>
      </w:pPr>
      <w:r w:rsidRPr="006A4FCA">
        <w:rPr>
          <w:rFonts w:ascii="Arial" w:hAnsi="Arial" w:cs="Arial"/>
          <w:i/>
        </w:rPr>
        <w:t>Indikátor: výše a struktura úspor (jednotlivé rezorty)</w:t>
      </w:r>
    </w:p>
    <w:p w:rsidR="006A4FCA" w:rsidRPr="006A4FCA" w:rsidRDefault="006A4FCA" w:rsidP="006A4FCA">
      <w:pPr>
        <w:jc w:val="both"/>
        <w:rPr>
          <w:rFonts w:ascii="Arial" w:hAnsi="Arial" w:cs="Arial"/>
        </w:rPr>
      </w:pPr>
      <w:r w:rsidRPr="006A4FCA">
        <w:rPr>
          <w:rFonts w:ascii="Arial" w:hAnsi="Arial" w:cs="Arial"/>
        </w:rPr>
        <w:t xml:space="preserve">Obecně platí, že většina ministerstev přistupuje k využívání </w:t>
      </w:r>
      <w:proofErr w:type="spellStart"/>
      <w:r w:rsidRPr="006A4FCA">
        <w:rPr>
          <w:rFonts w:ascii="Arial" w:hAnsi="Arial" w:cs="Arial"/>
        </w:rPr>
        <w:t>outsourcovaných</w:t>
      </w:r>
      <w:proofErr w:type="spellEnd"/>
      <w:r w:rsidRPr="006A4FCA">
        <w:rPr>
          <w:rFonts w:ascii="Arial" w:hAnsi="Arial" w:cs="Arial"/>
        </w:rPr>
        <w:t xml:space="preserve"> služeb pouze v případech, které nelze zvládnout vlastními silami (MZV v případě schengenských víz, MŠMT v případě řešení dočasných významných úkolů, jako např. agenda převodu majetku na vysoké školy, v některých případech u zajištění servisu informačních technologií). Rezorty začaly s hledáním úspor v rámci své činnosti již v roce 2014. Přesto se v některých případech i v letošním roce stále daří snižovat náklady na externí činnosti:</w:t>
      </w:r>
    </w:p>
    <w:p w:rsidR="006A4FCA" w:rsidRPr="006A4FCA" w:rsidRDefault="006A4FCA" w:rsidP="006A4FCA">
      <w:pPr>
        <w:jc w:val="both"/>
        <w:rPr>
          <w:rFonts w:ascii="Arial" w:hAnsi="Arial" w:cs="Arial"/>
          <w:b/>
        </w:rPr>
      </w:pPr>
      <w:r w:rsidRPr="006A4FCA">
        <w:rPr>
          <w:rFonts w:ascii="Arial" w:hAnsi="Arial" w:cs="Arial"/>
          <w:b/>
        </w:rPr>
        <w:t>Ministerstvo zemědělství z 90,6 mil. Kč na 11,1 mil. Kč</w:t>
      </w:r>
    </w:p>
    <w:p w:rsidR="006A4FCA" w:rsidRPr="006A4FCA" w:rsidRDefault="006A4FCA" w:rsidP="006A4FCA">
      <w:pPr>
        <w:jc w:val="both"/>
        <w:rPr>
          <w:rFonts w:ascii="Arial" w:hAnsi="Arial" w:cs="Arial"/>
        </w:rPr>
      </w:pPr>
      <w:r w:rsidRPr="006A4FCA">
        <w:rPr>
          <w:rFonts w:ascii="Arial" w:hAnsi="Arial" w:cs="Arial"/>
        </w:rPr>
        <w:t>V porovnání s rokem 2013, kdy bylo na tyto činnosti vynaloženo celkem 90,6 mil. Kč, za 1. pololetí 2017 došlo ke snížení výdajů MZE za služby na 11,1 mil. Kč</w:t>
      </w:r>
      <w:r>
        <w:rPr>
          <w:rFonts w:ascii="Arial" w:hAnsi="Arial" w:cs="Arial"/>
        </w:rPr>
        <w:t>.</w:t>
      </w:r>
    </w:p>
    <w:p w:rsidR="006A4FCA" w:rsidRPr="006A4FCA" w:rsidRDefault="006A4FCA" w:rsidP="006A4FCA">
      <w:pPr>
        <w:jc w:val="both"/>
        <w:rPr>
          <w:rFonts w:ascii="Arial" w:hAnsi="Arial" w:cs="Arial"/>
          <w:b/>
        </w:rPr>
      </w:pPr>
      <w:r w:rsidRPr="006A4FCA">
        <w:rPr>
          <w:rFonts w:ascii="Arial" w:hAnsi="Arial" w:cs="Arial"/>
          <w:b/>
        </w:rPr>
        <w:t>Ministerstvo vnitra z 9,5 mil. Kč na 0,2</w:t>
      </w:r>
      <w:r>
        <w:rPr>
          <w:rFonts w:ascii="Arial" w:hAnsi="Arial" w:cs="Arial"/>
          <w:b/>
        </w:rPr>
        <w:t xml:space="preserve"> mil. Kč</w:t>
      </w:r>
    </w:p>
    <w:p w:rsidR="006A4FCA" w:rsidRPr="006A4FCA" w:rsidRDefault="006A4FCA" w:rsidP="006A4FCA">
      <w:pPr>
        <w:jc w:val="both"/>
        <w:rPr>
          <w:rFonts w:ascii="Arial" w:hAnsi="Arial" w:cs="Arial"/>
        </w:rPr>
      </w:pPr>
      <w:r w:rsidRPr="006A4FCA">
        <w:rPr>
          <w:rFonts w:ascii="Arial" w:hAnsi="Arial" w:cs="Arial"/>
        </w:rPr>
        <w:t>V roce 2014 bylo na zajištění konzultační, poradenských a právních služeb vynaloženo z rozpočtu ústředního orgánu Ministerstva vnitra celkem 9,5 mil. Kč (tj. snížení o 21 % oproti výdajům v této oblasti v roce 2013). Za rok 2015 pak došlo ještě k další redukci výdajů na 3,1 mil. Kč (tj. snížení o 67 % oproti roku 2014). Celkové čerpání v roce 2016 dosáhlo 3,4 mil. Kč. Snižování nákladů pokračovalo i v prvním pololetí roku 2017, kdy bylo vyčerpáno 0,2 mil. Kč (do nákladů nejsou zahrnuty prostředky vynaložené na tyto služby v rámci projektů spolufinancovaných z prostředků EU).</w:t>
      </w:r>
    </w:p>
    <w:p w:rsidR="006A4FCA" w:rsidRPr="006A4FCA" w:rsidRDefault="006A4FCA" w:rsidP="006A4FCA">
      <w:pPr>
        <w:jc w:val="both"/>
        <w:rPr>
          <w:rFonts w:ascii="Arial" w:hAnsi="Arial" w:cs="Arial"/>
          <w:b/>
        </w:rPr>
      </w:pPr>
      <w:r w:rsidRPr="006A4FCA">
        <w:rPr>
          <w:rFonts w:ascii="Arial" w:hAnsi="Arial" w:cs="Arial"/>
          <w:b/>
        </w:rPr>
        <w:t>Ministerstvo průmyslu a obchodu meziročně o 24,3 mil. Kč</w:t>
      </w:r>
    </w:p>
    <w:p w:rsidR="006A4FCA" w:rsidRDefault="006A4FCA" w:rsidP="006A4FCA">
      <w:pPr>
        <w:jc w:val="both"/>
        <w:rPr>
          <w:rFonts w:ascii="Arial" w:hAnsi="Arial" w:cs="Arial"/>
          <w:b/>
        </w:rPr>
      </w:pPr>
      <w:r w:rsidRPr="006A4FCA">
        <w:rPr>
          <w:rFonts w:ascii="Arial" w:hAnsi="Arial" w:cs="Arial"/>
        </w:rPr>
        <w:t>V kapitole MPO je forma outsourcingu využívána pouze v rámci informačních služeb, kde se jedná o dlouhodobou spolupráci, zajištění systémové a uživatelské podpory instalované výpočetní techniky, operačního systému a programového vybavení od roku 1993 externím dodavatelem. Celková měsíční úspora mezi službou zajišťovanou externí firmou a náklady, které by byly realizovány samotným ministerstvem při zajišťování služby vlastními zaměstnanci, činí cca 66 tis. Kč měsíčně. Obecně, co se týká úspor v oblasti nákupu ostatních služeb, jsou realizovány zejména formou veřejných zakázek. Porovnáním dvou po sobě srovnatelných období let 2016 a 2017 k 31. 7. je za rok 2017 uhrazeno 101,34 mil. Kč a za rok 2016 to bylo 125,65 mil. Kč. Došlo tedy k poklesu nákladů na nákup služeb o 24,31 mil. Kč.</w:t>
      </w:r>
    </w:p>
    <w:p w:rsidR="006A4FCA" w:rsidRPr="006A4FCA" w:rsidRDefault="006A4FCA" w:rsidP="006A4FCA">
      <w:pPr>
        <w:jc w:val="both"/>
        <w:rPr>
          <w:rFonts w:ascii="Arial" w:hAnsi="Arial" w:cs="Arial"/>
          <w:b/>
        </w:rPr>
      </w:pPr>
      <w:r w:rsidRPr="006A4FCA">
        <w:rPr>
          <w:rFonts w:ascii="Arial" w:hAnsi="Arial" w:cs="Arial"/>
          <w:b/>
        </w:rPr>
        <w:t>Ministerstvo spravedlnosti meziročně o 13,4 mil. Kč</w:t>
      </w:r>
    </w:p>
    <w:p w:rsidR="006A4FCA" w:rsidRPr="006A4FCA" w:rsidRDefault="006A4FCA" w:rsidP="006A4FCA">
      <w:pPr>
        <w:jc w:val="both"/>
        <w:rPr>
          <w:rFonts w:ascii="Arial" w:hAnsi="Arial" w:cs="Arial"/>
        </w:rPr>
      </w:pPr>
      <w:r w:rsidRPr="006A4FCA">
        <w:rPr>
          <w:rFonts w:ascii="Arial" w:hAnsi="Arial" w:cs="Arial"/>
        </w:rPr>
        <w:t xml:space="preserve">Aparát </w:t>
      </w:r>
      <w:proofErr w:type="spellStart"/>
      <w:r w:rsidRPr="006A4FCA">
        <w:rPr>
          <w:rFonts w:ascii="Arial" w:hAnsi="Arial" w:cs="Arial"/>
        </w:rPr>
        <w:t>MSp</w:t>
      </w:r>
      <w:proofErr w:type="spellEnd"/>
      <w:r w:rsidRPr="006A4FCA">
        <w:rPr>
          <w:rFonts w:ascii="Arial" w:hAnsi="Arial" w:cs="Arial"/>
        </w:rPr>
        <w:t xml:space="preserve"> snížil v prvním pololetí 2017 výdaje za nakupované služby v meziročním srovnání o 13.44 mil. Kč, což představuje pokles o 9,15 %. Tento údaj je ještě významnější v porovnání s významným nárůstem agend, vykonávaných aparátem </w:t>
      </w:r>
      <w:proofErr w:type="spellStart"/>
      <w:r w:rsidRPr="006A4FCA">
        <w:rPr>
          <w:rFonts w:ascii="Arial" w:hAnsi="Arial" w:cs="Arial"/>
        </w:rPr>
        <w:t>MSp</w:t>
      </w:r>
      <w:proofErr w:type="spellEnd"/>
      <w:r w:rsidRPr="006A4FCA">
        <w:rPr>
          <w:rFonts w:ascii="Arial" w:hAnsi="Arial" w:cs="Arial"/>
        </w:rPr>
        <w:t xml:space="preserve">, který vedl ve srovnání s celým rokem 2016, kdy aparát </w:t>
      </w:r>
      <w:proofErr w:type="spellStart"/>
      <w:r w:rsidRPr="006A4FCA">
        <w:rPr>
          <w:rFonts w:ascii="Arial" w:hAnsi="Arial" w:cs="Arial"/>
        </w:rPr>
        <w:t>MSp</w:t>
      </w:r>
      <w:proofErr w:type="spellEnd"/>
      <w:r w:rsidRPr="006A4FCA">
        <w:rPr>
          <w:rFonts w:ascii="Arial" w:hAnsi="Arial" w:cs="Arial"/>
        </w:rPr>
        <w:t xml:space="preserve"> zaměstnával v průměru 330,1 pracovníků, k nárůstu průměrné zaměstnanosti v prvním pololetí 2017 o 14.2% na 384,7 pracovníků. </w:t>
      </w:r>
    </w:p>
    <w:p w:rsidR="00E10F22" w:rsidRDefault="00E10F22" w:rsidP="006A4FCA">
      <w:pPr>
        <w:jc w:val="both"/>
        <w:rPr>
          <w:rFonts w:ascii="Arial" w:hAnsi="Arial" w:cs="Arial"/>
          <w:b/>
        </w:rPr>
      </w:pPr>
    </w:p>
    <w:p w:rsidR="00E10F22" w:rsidRDefault="00E10F22" w:rsidP="006A4FCA">
      <w:pPr>
        <w:jc w:val="both"/>
        <w:rPr>
          <w:rFonts w:ascii="Arial" w:hAnsi="Arial" w:cs="Arial"/>
          <w:b/>
        </w:rPr>
      </w:pPr>
    </w:p>
    <w:p w:rsidR="00E10F22" w:rsidRDefault="00E10F22" w:rsidP="006A4FCA">
      <w:pPr>
        <w:jc w:val="both"/>
        <w:rPr>
          <w:rFonts w:ascii="Arial" w:hAnsi="Arial" w:cs="Arial"/>
          <w:b/>
        </w:rPr>
      </w:pPr>
    </w:p>
    <w:p w:rsidR="006A4FCA" w:rsidRPr="006A4FCA" w:rsidRDefault="006A4FCA" w:rsidP="006A4FCA">
      <w:pPr>
        <w:jc w:val="both"/>
        <w:rPr>
          <w:rFonts w:ascii="Arial" w:hAnsi="Arial" w:cs="Arial"/>
          <w:b/>
        </w:rPr>
      </w:pPr>
      <w:bookmarkStart w:id="1" w:name="_GoBack"/>
      <w:bookmarkEnd w:id="1"/>
      <w:r w:rsidRPr="006A4FCA">
        <w:rPr>
          <w:rFonts w:ascii="Arial" w:hAnsi="Arial" w:cs="Arial"/>
          <w:b/>
        </w:rPr>
        <w:lastRenderedPageBreak/>
        <w:t>MPSV ušetřilo na běžném provozu úřadu až 25 mil. Kč</w:t>
      </w:r>
    </w:p>
    <w:p w:rsidR="006A4FCA" w:rsidRPr="006A4FCA" w:rsidRDefault="006A4FCA" w:rsidP="006A4FCA">
      <w:pPr>
        <w:jc w:val="both"/>
        <w:rPr>
          <w:rFonts w:ascii="Arial" w:hAnsi="Arial" w:cs="Arial"/>
        </w:rPr>
      </w:pPr>
      <w:r w:rsidRPr="006A4FCA">
        <w:rPr>
          <w:rFonts w:ascii="Arial" w:hAnsi="Arial" w:cs="Arial"/>
        </w:rPr>
        <w:t xml:space="preserve">V rámci zefektivnění výkonu veřejné správy došlo k </w:t>
      </w:r>
      <w:proofErr w:type="spellStart"/>
      <w:r w:rsidRPr="006A4FCA">
        <w:rPr>
          <w:rFonts w:ascii="Arial" w:hAnsi="Arial" w:cs="Arial"/>
        </w:rPr>
        <w:t>přesoutěžení</w:t>
      </w:r>
      <w:proofErr w:type="spellEnd"/>
      <w:r w:rsidRPr="006A4FCA">
        <w:rPr>
          <w:rFonts w:ascii="Arial" w:hAnsi="Arial" w:cs="Arial"/>
        </w:rPr>
        <w:t xml:space="preserve"> některých komodit a služeb, díky čemuž vznikla úspora ve výdajích MPSV. Jedná se zejména o následující úspory:</w:t>
      </w:r>
    </w:p>
    <w:p w:rsidR="006A4FCA" w:rsidRPr="006A4FCA" w:rsidRDefault="006A4FCA" w:rsidP="006A4FCA">
      <w:pPr>
        <w:pStyle w:val="Odstavecseseznamem"/>
        <w:numPr>
          <w:ilvl w:val="0"/>
          <w:numId w:val="9"/>
        </w:numPr>
        <w:jc w:val="both"/>
        <w:rPr>
          <w:rFonts w:ascii="Arial" w:hAnsi="Arial" w:cs="Arial"/>
        </w:rPr>
      </w:pPr>
      <w:r w:rsidRPr="006A4FCA">
        <w:rPr>
          <w:rFonts w:ascii="Arial" w:hAnsi="Arial" w:cs="Arial"/>
        </w:rPr>
        <w:t>Na počátku letošního roku uzavřena nová smlouva na poskytování telefonních služeb, díky které došlo k poklesu celkových nákladů o 54 % (roční úspora ve výši 4,8 mil. Kč bez DPH).</w:t>
      </w:r>
    </w:p>
    <w:p w:rsidR="006A4FCA" w:rsidRPr="006A4FCA" w:rsidRDefault="006A4FCA" w:rsidP="006A4FCA">
      <w:pPr>
        <w:pStyle w:val="Odstavecseseznamem"/>
        <w:numPr>
          <w:ilvl w:val="0"/>
          <w:numId w:val="9"/>
        </w:numPr>
        <w:jc w:val="both"/>
        <w:rPr>
          <w:rFonts w:ascii="Arial" w:hAnsi="Arial" w:cs="Arial"/>
        </w:rPr>
      </w:pPr>
      <w:r w:rsidRPr="006A4FCA">
        <w:rPr>
          <w:rFonts w:ascii="Arial" w:hAnsi="Arial" w:cs="Arial"/>
        </w:rPr>
        <w:t xml:space="preserve">U nákupu elektrické energie a zemního plynu byl zvolen postupný nákup komodity. Díky jeho realizaci došlo u elektrické energie k poklesu ceny v průměru o 2,5 % oproti roku 2016 (celková výše odhadovaných úspor za rok 2017 je 734 tis. Kč bez DPH). U zemního plynu pak došlo k poklesu jednotkové ceny za jeden </w:t>
      </w:r>
      <w:proofErr w:type="spellStart"/>
      <w:r w:rsidRPr="006A4FCA">
        <w:rPr>
          <w:rFonts w:ascii="Arial" w:hAnsi="Arial" w:cs="Arial"/>
        </w:rPr>
        <w:t>MWh</w:t>
      </w:r>
      <w:proofErr w:type="spellEnd"/>
      <w:r w:rsidRPr="006A4FCA">
        <w:rPr>
          <w:rFonts w:ascii="Arial" w:hAnsi="Arial" w:cs="Arial"/>
        </w:rPr>
        <w:t xml:space="preserve"> ze 485 Kč na 356 Kč, celková úspora za rok 2017 je tak odhadovaná na částku 6,1 mil. Kč bez DPH.</w:t>
      </w:r>
    </w:p>
    <w:p w:rsidR="006A4FCA" w:rsidRPr="006A4FCA" w:rsidRDefault="006A4FCA" w:rsidP="006A4FCA">
      <w:pPr>
        <w:pStyle w:val="Odstavecseseznamem"/>
        <w:numPr>
          <w:ilvl w:val="0"/>
          <w:numId w:val="9"/>
        </w:numPr>
        <w:jc w:val="both"/>
        <w:rPr>
          <w:rFonts w:ascii="Arial" w:hAnsi="Arial" w:cs="Arial"/>
        </w:rPr>
      </w:pPr>
      <w:r w:rsidRPr="006A4FCA">
        <w:rPr>
          <w:rFonts w:ascii="Arial" w:hAnsi="Arial" w:cs="Arial"/>
        </w:rPr>
        <w:t xml:space="preserve">Na počátku roku 2017 realizován re-tendr a uzavřena nová smlouva na pojištění vozidel, indikovaná roční úspora ve výši 775.654,- Kč bez DPH, což odpovídá 34 % úspoře v nákladech oproti roku 2016. </w:t>
      </w:r>
    </w:p>
    <w:p w:rsidR="006A4FCA" w:rsidRPr="006A4FCA" w:rsidRDefault="006A4FCA" w:rsidP="006A4FCA">
      <w:pPr>
        <w:pStyle w:val="Odstavecseseznamem"/>
        <w:numPr>
          <w:ilvl w:val="0"/>
          <w:numId w:val="9"/>
        </w:numPr>
        <w:jc w:val="both"/>
        <w:rPr>
          <w:rFonts w:ascii="Arial" w:hAnsi="Arial" w:cs="Arial"/>
        </w:rPr>
      </w:pPr>
      <w:r w:rsidRPr="006A4FCA">
        <w:rPr>
          <w:rFonts w:ascii="Arial" w:hAnsi="Arial" w:cs="Arial"/>
        </w:rPr>
        <w:t xml:space="preserve">Díky postupnému </w:t>
      </w:r>
      <w:proofErr w:type="spellStart"/>
      <w:r w:rsidRPr="006A4FCA">
        <w:rPr>
          <w:rFonts w:ascii="Arial" w:hAnsi="Arial" w:cs="Arial"/>
        </w:rPr>
        <w:t>přesoutěžování</w:t>
      </w:r>
      <w:proofErr w:type="spellEnd"/>
      <w:r w:rsidRPr="006A4FCA">
        <w:rPr>
          <w:rFonts w:ascii="Arial" w:hAnsi="Arial" w:cs="Arial"/>
        </w:rPr>
        <w:t xml:space="preserve"> dochází také k významnému pokle</w:t>
      </w:r>
      <w:r>
        <w:rPr>
          <w:rFonts w:ascii="Arial" w:hAnsi="Arial" w:cs="Arial"/>
        </w:rPr>
        <w:t xml:space="preserve">su výdajů, a to </w:t>
      </w:r>
      <w:r w:rsidRPr="006A4FCA">
        <w:rPr>
          <w:rFonts w:ascii="Arial" w:hAnsi="Arial" w:cs="Arial"/>
        </w:rPr>
        <w:t xml:space="preserve">až o 50 %, na zajištění datových služeb pomocí pevných linek na detašovaných pracovištích MPSV a na jednotlivých pobočkách úřadů práce po celé ČR. V současné době je </w:t>
      </w:r>
      <w:proofErr w:type="spellStart"/>
      <w:r w:rsidRPr="006A4FCA">
        <w:rPr>
          <w:rFonts w:ascii="Arial" w:hAnsi="Arial" w:cs="Arial"/>
        </w:rPr>
        <w:t>přesoutěžena</w:t>
      </w:r>
      <w:proofErr w:type="spellEnd"/>
      <w:r w:rsidRPr="006A4FCA">
        <w:rPr>
          <w:rFonts w:ascii="Arial" w:hAnsi="Arial" w:cs="Arial"/>
        </w:rPr>
        <w:t xml:space="preserve"> téměř polovina krajů. Roční úspora je odhadována na částku kolem 15 mil. Kč bez DPH.</w:t>
      </w:r>
    </w:p>
    <w:p w:rsidR="006A4FCA" w:rsidRPr="006A4FCA" w:rsidRDefault="006A4FCA" w:rsidP="006A4FCA">
      <w:pPr>
        <w:jc w:val="both"/>
        <w:rPr>
          <w:rFonts w:ascii="Arial" w:hAnsi="Arial" w:cs="Arial"/>
        </w:rPr>
      </w:pPr>
      <w:r w:rsidRPr="006A4FCA">
        <w:rPr>
          <w:rFonts w:ascii="Arial" w:hAnsi="Arial" w:cs="Arial"/>
        </w:rPr>
        <w:t xml:space="preserve">Úspory vykazuje také </w:t>
      </w:r>
      <w:r w:rsidRPr="006A4FCA">
        <w:rPr>
          <w:rFonts w:ascii="Arial" w:hAnsi="Arial" w:cs="Arial"/>
          <w:b/>
        </w:rPr>
        <w:t>MŽP, MO nebo MK</w:t>
      </w:r>
      <w:r w:rsidRPr="006A4FCA">
        <w:rPr>
          <w:rFonts w:ascii="Arial" w:hAnsi="Arial" w:cs="Arial"/>
        </w:rPr>
        <w:t>.</w:t>
      </w:r>
    </w:p>
    <w:p w:rsidR="006A4FCA" w:rsidRPr="006A4FCA" w:rsidRDefault="006A4FCA" w:rsidP="006A4FCA">
      <w:pPr>
        <w:jc w:val="both"/>
        <w:rPr>
          <w:rFonts w:ascii="Arial" w:hAnsi="Arial" w:cs="Arial"/>
        </w:rPr>
      </w:pPr>
      <w:r w:rsidRPr="006A4FCA">
        <w:rPr>
          <w:rFonts w:ascii="Arial" w:hAnsi="Arial" w:cs="Arial"/>
        </w:rPr>
        <w:t xml:space="preserve">U většiny ostatních ministerstev dochází spíše ke </w:t>
      </w:r>
      <w:r w:rsidRPr="006A4FCA">
        <w:rPr>
          <w:rFonts w:ascii="Arial" w:hAnsi="Arial" w:cs="Arial"/>
          <w:b/>
        </w:rPr>
        <w:t>stagnaci výdajů</w:t>
      </w:r>
      <w:r w:rsidRPr="006A4FCA">
        <w:rPr>
          <w:rFonts w:ascii="Arial" w:hAnsi="Arial" w:cs="Arial"/>
        </w:rPr>
        <w:t xml:space="preserve">, někdy i za situace, kdy objem agendy narůstá. Takový je i případ </w:t>
      </w:r>
      <w:r w:rsidRPr="006A4FCA">
        <w:rPr>
          <w:rFonts w:ascii="Arial" w:hAnsi="Arial" w:cs="Arial"/>
          <w:b/>
        </w:rPr>
        <w:t>Ministerstva financí</w:t>
      </w:r>
      <w:r w:rsidRPr="006A4FCA">
        <w:rPr>
          <w:rFonts w:ascii="Arial" w:hAnsi="Arial" w:cs="Arial"/>
        </w:rPr>
        <w:t>:</w:t>
      </w:r>
    </w:p>
    <w:p w:rsidR="006A4FCA" w:rsidRPr="006A4FCA" w:rsidRDefault="006A4FCA" w:rsidP="006A4FCA">
      <w:pPr>
        <w:jc w:val="both"/>
        <w:rPr>
          <w:rFonts w:ascii="Arial" w:hAnsi="Arial" w:cs="Arial"/>
        </w:rPr>
      </w:pPr>
      <w:r w:rsidRPr="006A4FCA">
        <w:rPr>
          <w:rFonts w:ascii="Arial" w:hAnsi="Arial" w:cs="Arial"/>
        </w:rPr>
        <w:t>Výdaje za právní, poradenské a konzultační služby MF k 30. 6. 2017 jsou ve výši 80 276 Kč. To sice představuje 60,16 % ročních výdajů za rok 2016, avšak v tomto objemu jsou zahrnuty výdaje za právní zastupování a poradenství v oblasti arbitrážních sporů z titulu údajného porušení dohod o podpoře a ochraně investic, které k 30. 6. 2017 činily 78 306 tis. Kč (zvýšení proti stejnému období roku 2016 o 93,04 %). Bez těchto zcela atypických výdajů, které žádný jiný resort nevykazuje, činily výdaje za ostatní, „klasické“ právní, poradenské a konzultační služby MF jen 1 970 tis. Kč, což v porovnání se skutečností celého roku 2016 představuje 38,2 %, a v porovnání s výdaji k 30. 6. 2016 (2 817 tis. Kč) se jedná o 69,93 %. Ke snížení výdajů proti stejnému období 2016 došlo i u ostatních součástí MF, které sledované služby realizovaly.</w:t>
      </w:r>
    </w:p>
    <w:p w:rsidR="006A4FCA" w:rsidRPr="006A4FCA" w:rsidRDefault="006A4FCA" w:rsidP="006A4FCA">
      <w:pPr>
        <w:jc w:val="both"/>
        <w:rPr>
          <w:rFonts w:ascii="Arial" w:hAnsi="Arial" w:cs="Arial"/>
        </w:rPr>
      </w:pPr>
      <w:r w:rsidRPr="006A4FCA">
        <w:rPr>
          <w:rFonts w:ascii="Arial" w:hAnsi="Arial" w:cs="Arial"/>
          <w:b/>
        </w:rPr>
        <w:t>K mírnému zvýšení výdajů na externí služby oproti roku 2016 došlo u MMR a MD</w:t>
      </w:r>
      <w:r w:rsidRPr="006A4FCA">
        <w:rPr>
          <w:rFonts w:ascii="Arial" w:hAnsi="Arial" w:cs="Arial"/>
        </w:rPr>
        <w:t>. V obou případech se týká konzultačních a poradenských služeb, v případě MD také IT služeb a služeb obecně.</w:t>
      </w:r>
    </w:p>
    <w:p w:rsidR="006A4FCA" w:rsidRDefault="006A4FCA" w:rsidP="007A661C">
      <w:pPr>
        <w:jc w:val="both"/>
        <w:rPr>
          <w:rFonts w:ascii="Arial" w:hAnsi="Arial" w:cs="Arial"/>
        </w:rPr>
      </w:pPr>
    </w:p>
    <w:p w:rsidR="006A4FCA" w:rsidRDefault="006A4FCA" w:rsidP="007A661C">
      <w:pPr>
        <w:jc w:val="both"/>
        <w:rPr>
          <w:rFonts w:ascii="Arial" w:hAnsi="Arial" w:cs="Arial"/>
        </w:rPr>
      </w:pPr>
    </w:p>
    <w:p w:rsidR="006A4FCA" w:rsidRDefault="006A4FCA" w:rsidP="007A661C">
      <w:pPr>
        <w:jc w:val="both"/>
        <w:rPr>
          <w:rFonts w:ascii="Arial" w:hAnsi="Arial" w:cs="Arial"/>
        </w:rPr>
      </w:pPr>
    </w:p>
    <w:p w:rsidR="006A4FCA" w:rsidRDefault="006A4FCA" w:rsidP="007A661C">
      <w:pPr>
        <w:jc w:val="both"/>
        <w:rPr>
          <w:rFonts w:ascii="Arial" w:hAnsi="Arial" w:cs="Arial"/>
        </w:rPr>
      </w:pPr>
    </w:p>
    <w:p w:rsidR="006A4FCA" w:rsidRPr="00B05392" w:rsidRDefault="006A4FCA" w:rsidP="006A4FCA">
      <w:pPr>
        <w:pStyle w:val="Nadpis2"/>
      </w:pPr>
      <w:bookmarkStart w:id="2" w:name="_Toc466900828"/>
      <w:r w:rsidRPr="00E87CC3">
        <w:lastRenderedPageBreak/>
        <w:t>Akcelerace potenciálu evropské a zahraniční spolupráce</w:t>
      </w:r>
      <w:bookmarkEnd w:id="2"/>
    </w:p>
    <w:p w:rsidR="003C10C5" w:rsidRPr="003C10C5" w:rsidRDefault="003C10C5" w:rsidP="003C10C5">
      <w:pPr>
        <w:pBdr>
          <w:top w:val="single" w:sz="4" w:space="1" w:color="auto"/>
          <w:left w:val="single" w:sz="4" w:space="4" w:color="auto"/>
          <w:bottom w:val="single" w:sz="4" w:space="1" w:color="auto"/>
          <w:right w:val="single" w:sz="4" w:space="4" w:color="auto"/>
        </w:pBdr>
        <w:jc w:val="center"/>
        <w:rPr>
          <w:rFonts w:ascii="Arial" w:hAnsi="Arial" w:cs="Arial"/>
          <w:b/>
        </w:rPr>
      </w:pPr>
      <w:r w:rsidRPr="003C10C5">
        <w:rPr>
          <w:rFonts w:ascii="Arial" w:hAnsi="Arial" w:cs="Arial"/>
          <w:b/>
        </w:rPr>
        <w:t>CÍL: Prioritní zájmy v evropské infrastruktuře (EIF)</w:t>
      </w:r>
    </w:p>
    <w:p w:rsidR="003C10C5" w:rsidRPr="003C10C5" w:rsidRDefault="003C10C5" w:rsidP="003C10C5">
      <w:pPr>
        <w:pBdr>
          <w:top w:val="single" w:sz="4" w:space="1" w:color="auto"/>
          <w:left w:val="single" w:sz="4" w:space="4" w:color="auto"/>
          <w:bottom w:val="single" w:sz="4" w:space="1" w:color="auto"/>
          <w:right w:val="single" w:sz="4" w:space="4" w:color="auto"/>
        </w:pBdr>
        <w:jc w:val="center"/>
        <w:rPr>
          <w:rFonts w:ascii="Arial" w:hAnsi="Arial" w:cs="Arial"/>
          <w:i/>
        </w:rPr>
      </w:pPr>
      <w:r w:rsidRPr="003C10C5">
        <w:rPr>
          <w:rFonts w:ascii="Arial" w:hAnsi="Arial" w:cs="Arial"/>
          <w:i/>
        </w:rPr>
        <w:t>Indikátor: definování zájmů a stanovení harmonogramu realizace (MPO, MD)</w:t>
      </w:r>
    </w:p>
    <w:p w:rsidR="003C10C5" w:rsidRPr="003C10C5" w:rsidRDefault="003C10C5" w:rsidP="003C10C5">
      <w:pPr>
        <w:jc w:val="both"/>
        <w:rPr>
          <w:rFonts w:ascii="Arial" w:hAnsi="Arial" w:cs="Arial"/>
        </w:rPr>
      </w:pPr>
      <w:r w:rsidRPr="003C10C5">
        <w:rPr>
          <w:rFonts w:ascii="Arial" w:hAnsi="Arial" w:cs="Arial"/>
        </w:rPr>
        <w:t>Vláda schválila v prvním pololetí několik koncepčních a strategických materiálů, které definují české zájmy v evropské infrastruktuře a stanovují kroky a harmonogram j</w:t>
      </w:r>
      <w:r>
        <w:rPr>
          <w:rFonts w:ascii="Arial" w:hAnsi="Arial" w:cs="Arial"/>
        </w:rPr>
        <w:t>ejich naplnění. Jde především o:</w:t>
      </w:r>
    </w:p>
    <w:p w:rsidR="003C10C5" w:rsidRPr="003C10C5" w:rsidRDefault="003C10C5" w:rsidP="003C10C5">
      <w:pPr>
        <w:pStyle w:val="Odstavecseseznamem"/>
        <w:numPr>
          <w:ilvl w:val="0"/>
          <w:numId w:val="9"/>
        </w:numPr>
        <w:jc w:val="both"/>
        <w:rPr>
          <w:rFonts w:ascii="Arial" w:hAnsi="Arial" w:cs="Arial"/>
        </w:rPr>
      </w:pPr>
      <w:r w:rsidRPr="003C10C5">
        <w:rPr>
          <w:rFonts w:ascii="Arial" w:hAnsi="Arial" w:cs="Arial"/>
          <w:b/>
        </w:rPr>
        <w:t>Koncepci nákladní dopravy</w:t>
      </w:r>
      <w:r w:rsidRPr="003C10C5">
        <w:rPr>
          <w:rFonts w:ascii="Arial" w:hAnsi="Arial" w:cs="Arial"/>
        </w:rPr>
        <w:t xml:space="preserve"> pro období 2017-2023 s výhledem do roku 2030 (UV č. 57 ze dne 25.1.2017)</w:t>
      </w:r>
    </w:p>
    <w:p w:rsidR="003C10C5" w:rsidRDefault="003C10C5" w:rsidP="003C10C5">
      <w:pPr>
        <w:pStyle w:val="Odstavecseseznamem"/>
        <w:numPr>
          <w:ilvl w:val="0"/>
          <w:numId w:val="9"/>
        </w:numPr>
        <w:jc w:val="both"/>
        <w:rPr>
          <w:rFonts w:ascii="Arial" w:hAnsi="Arial" w:cs="Arial"/>
        </w:rPr>
      </w:pPr>
      <w:r w:rsidRPr="003C10C5">
        <w:rPr>
          <w:rFonts w:ascii="Arial" w:hAnsi="Arial" w:cs="Arial"/>
          <w:b/>
        </w:rPr>
        <w:t>Program rozvoje rychlých železničních spojení v ČR</w:t>
      </w:r>
      <w:r w:rsidRPr="003C10C5">
        <w:rPr>
          <w:rFonts w:ascii="Arial" w:hAnsi="Arial" w:cs="Arial"/>
        </w:rPr>
        <w:t xml:space="preserve"> (UV č. 389 ze dne 22.5.2017)</w:t>
      </w:r>
    </w:p>
    <w:p w:rsidR="00A73D83" w:rsidRPr="00A73D83" w:rsidRDefault="00A73D83" w:rsidP="00A73D83">
      <w:pPr>
        <w:jc w:val="both"/>
        <w:rPr>
          <w:rFonts w:ascii="Arial" w:hAnsi="Arial" w:cs="Arial"/>
          <w:b/>
        </w:rPr>
      </w:pPr>
      <w:r w:rsidRPr="00A73D83">
        <w:rPr>
          <w:rFonts w:ascii="Arial" w:hAnsi="Arial" w:cs="Arial"/>
          <w:b/>
        </w:rPr>
        <w:t>Zásadním problémem v naplňování priorit v dopravní infrastruktuře zůstává pomalá a komplikovaná příprava i realizace prioritních úseků dálnic. O nich se podrobněji zmiňuje cíl INV v kapitole 1.</w:t>
      </w:r>
    </w:p>
    <w:p w:rsidR="003C10C5" w:rsidRPr="003C10C5" w:rsidRDefault="003C10C5" w:rsidP="003C10C5">
      <w:pPr>
        <w:jc w:val="both"/>
        <w:rPr>
          <w:rFonts w:ascii="Arial" w:hAnsi="Arial" w:cs="Arial"/>
        </w:rPr>
      </w:pPr>
      <w:r w:rsidRPr="003C10C5">
        <w:rPr>
          <w:rFonts w:ascii="Arial" w:hAnsi="Arial" w:cs="Arial"/>
        </w:rPr>
        <w:t xml:space="preserve">V rámci OP PIK byla vyhlášena výzva </w:t>
      </w:r>
      <w:r w:rsidRPr="003C10C5">
        <w:rPr>
          <w:rFonts w:ascii="Arial" w:hAnsi="Arial" w:cs="Arial"/>
          <w:b/>
        </w:rPr>
        <w:t>na podporu vysokorychlostního internetu</w:t>
      </w:r>
      <w:r w:rsidRPr="003C10C5">
        <w:rPr>
          <w:rFonts w:ascii="Arial" w:hAnsi="Arial" w:cs="Arial"/>
        </w:rPr>
        <w:t>. Cílem je rozšíření moderní infrastruktury umožňující v souladu s podmínkami Národního plánu rozvoje sítí nové generace spolehlivě poskytovat vysokorychlostní služby elektronických komunikací.</w:t>
      </w:r>
    </w:p>
    <w:p w:rsidR="003C10C5" w:rsidRPr="003C10C5" w:rsidRDefault="003C10C5" w:rsidP="003C10C5">
      <w:pPr>
        <w:jc w:val="both"/>
        <w:rPr>
          <w:rFonts w:ascii="Arial" w:hAnsi="Arial" w:cs="Arial"/>
        </w:rPr>
      </w:pPr>
      <w:r w:rsidRPr="003C10C5">
        <w:rPr>
          <w:rFonts w:ascii="Arial" w:hAnsi="Arial" w:cs="Arial"/>
        </w:rPr>
        <w:t xml:space="preserve">Vyhlášení výzvy:   31. 3. 2017  </w:t>
      </w:r>
    </w:p>
    <w:p w:rsidR="003C10C5" w:rsidRPr="003C10C5" w:rsidRDefault="003C10C5" w:rsidP="003C10C5">
      <w:pPr>
        <w:jc w:val="both"/>
        <w:rPr>
          <w:rFonts w:ascii="Arial" w:hAnsi="Arial" w:cs="Arial"/>
        </w:rPr>
      </w:pPr>
      <w:r w:rsidRPr="003C10C5">
        <w:rPr>
          <w:rFonts w:ascii="Arial" w:hAnsi="Arial" w:cs="Arial"/>
        </w:rPr>
        <w:t xml:space="preserve">Zahájení příjmu:   26. 4. 2017  </w:t>
      </w:r>
    </w:p>
    <w:p w:rsidR="00A73D83" w:rsidRPr="00A73D83" w:rsidRDefault="003C10C5" w:rsidP="00A73D83">
      <w:pPr>
        <w:jc w:val="both"/>
        <w:rPr>
          <w:rFonts w:ascii="Arial" w:hAnsi="Arial" w:cs="Arial"/>
        </w:rPr>
      </w:pPr>
      <w:r>
        <w:rPr>
          <w:rFonts w:ascii="Arial" w:hAnsi="Arial" w:cs="Arial"/>
        </w:rPr>
        <w:t>U</w:t>
      </w:r>
      <w:r w:rsidRPr="003C10C5">
        <w:rPr>
          <w:rFonts w:ascii="Arial" w:hAnsi="Arial" w:cs="Arial"/>
        </w:rPr>
        <w:t>končení příjmu:   26. 9. 2017</w:t>
      </w:r>
    </w:p>
    <w:p w:rsidR="00A73D83" w:rsidRPr="00A73D83" w:rsidRDefault="00A73D83" w:rsidP="00A73D83">
      <w:pPr>
        <w:pBdr>
          <w:top w:val="single" w:sz="4" w:space="1" w:color="auto"/>
          <w:left w:val="single" w:sz="4" w:space="4" w:color="auto"/>
          <w:bottom w:val="single" w:sz="4" w:space="1" w:color="auto"/>
          <w:right w:val="single" w:sz="4" w:space="4" w:color="auto"/>
        </w:pBdr>
        <w:jc w:val="center"/>
        <w:rPr>
          <w:rFonts w:ascii="Arial" w:hAnsi="Arial" w:cs="Arial"/>
          <w:b/>
        </w:rPr>
      </w:pPr>
      <w:r w:rsidRPr="00A73D83">
        <w:rPr>
          <w:rFonts w:ascii="Arial" w:hAnsi="Arial" w:cs="Arial"/>
          <w:b/>
        </w:rPr>
        <w:t>CÍL: Podpora exportu (EXP)</w:t>
      </w:r>
    </w:p>
    <w:p w:rsidR="00A73D83" w:rsidRPr="00A73D83" w:rsidRDefault="00A73D83" w:rsidP="00A73D83">
      <w:pPr>
        <w:pBdr>
          <w:top w:val="single" w:sz="4" w:space="1" w:color="auto"/>
          <w:left w:val="single" w:sz="4" w:space="4" w:color="auto"/>
          <w:bottom w:val="single" w:sz="4" w:space="1" w:color="auto"/>
          <w:right w:val="single" w:sz="4" w:space="4" w:color="auto"/>
        </w:pBdr>
        <w:jc w:val="center"/>
        <w:rPr>
          <w:rFonts w:ascii="Arial" w:hAnsi="Arial" w:cs="Arial"/>
          <w:i/>
        </w:rPr>
      </w:pPr>
      <w:r w:rsidRPr="00A73D83">
        <w:rPr>
          <w:rFonts w:ascii="Arial" w:hAnsi="Arial" w:cs="Arial"/>
          <w:i/>
        </w:rPr>
        <w:t>Indikátor: návrh nových nástrojů pro další akceleraci, využívanost stávajících nástrojů (MPO, MZV)</w:t>
      </w:r>
    </w:p>
    <w:p w:rsidR="00A73D83" w:rsidRPr="00A73D83" w:rsidRDefault="00A73D83" w:rsidP="00A73D83">
      <w:pPr>
        <w:jc w:val="both"/>
        <w:rPr>
          <w:rFonts w:ascii="Arial" w:hAnsi="Arial" w:cs="Arial"/>
        </w:rPr>
      </w:pPr>
      <w:r w:rsidRPr="00A73D83">
        <w:rPr>
          <w:rFonts w:ascii="Arial" w:hAnsi="Arial" w:cs="Arial"/>
        </w:rPr>
        <w:t xml:space="preserve">Exportérům se i v první polovině roku 2017 dařilo. Celkový vývoz za 1. pololetí 2017 dle přeshraniční statistiky zahraničního obchodu dosáhl hodnoty </w:t>
      </w:r>
      <w:r w:rsidRPr="00A73D83">
        <w:rPr>
          <w:rFonts w:ascii="Arial" w:hAnsi="Arial" w:cs="Arial"/>
          <w:b/>
        </w:rPr>
        <w:t>2 126,5 mld. Kč, což představuje nejlepší výsledek v historii ČR</w:t>
      </w:r>
      <w:r w:rsidRPr="00A73D83">
        <w:rPr>
          <w:rFonts w:ascii="Arial" w:hAnsi="Arial" w:cs="Arial"/>
        </w:rPr>
        <w:t xml:space="preserve">. Oproti roku 2016 jde o nárůst 5,2 %. </w:t>
      </w:r>
    </w:p>
    <w:p w:rsidR="00A73D83" w:rsidRPr="00A73D83" w:rsidRDefault="00A73D83" w:rsidP="00A73D83">
      <w:pPr>
        <w:jc w:val="both"/>
        <w:rPr>
          <w:rFonts w:ascii="Arial" w:hAnsi="Arial" w:cs="Arial"/>
        </w:rPr>
      </w:pPr>
      <w:r w:rsidRPr="00A73D83">
        <w:rPr>
          <w:rFonts w:ascii="Arial" w:hAnsi="Arial" w:cs="Arial"/>
        </w:rPr>
        <w:t xml:space="preserve">Celkový přebytek obchodní bilance za 1. pololetí 2017 činil 243,2 mld. Kč, což je o 39,8 mld. Kč méně než v roce 2016, protože dovoz oproti roku 2016 rostl více - o 8,4 % a dosáhl hodnoty 1 883,3 mld. Kč. V národním pojetí statistiky zahraničního obchodu, kdy je sledován skutečný obchod se zbožím realizovaný mezi českými a zahraničními subjekty, tj. změna vlastnictví mezi rezidenty a nerezidenty, dosáhl vývoz v 1. pololetí 2017 hodnoty 1 795,1 mld. Kč, což představuje oproti stejnému období roku 2016 nárůst o 6,1%. Celkový přebytek obchodní bilance v tomto pojetí je 106,5 mld. Kč, což je o 17,0 mld. méně než v 1. pololetí 2016. I v národním pojetí tak </w:t>
      </w:r>
      <w:r w:rsidRPr="00A73D83">
        <w:rPr>
          <w:rFonts w:ascii="Arial" w:hAnsi="Arial" w:cs="Arial"/>
          <w:b/>
        </w:rPr>
        <w:t>dovoz oproti stejnému období roku 2016 rostl více</w:t>
      </w:r>
      <w:r w:rsidRPr="00A73D83">
        <w:rPr>
          <w:rFonts w:ascii="Arial" w:hAnsi="Arial" w:cs="Arial"/>
        </w:rPr>
        <w:t xml:space="preserve"> - o 7,6 % a dosáhl hodnoty 1 692,5 mld. Kč. </w:t>
      </w:r>
    </w:p>
    <w:p w:rsidR="00A73D83" w:rsidRPr="00A73D83" w:rsidRDefault="00A73D83" w:rsidP="00A73D83">
      <w:pPr>
        <w:jc w:val="both"/>
        <w:rPr>
          <w:rFonts w:ascii="Arial" w:hAnsi="Arial" w:cs="Arial"/>
        </w:rPr>
      </w:pPr>
      <w:r w:rsidRPr="00A73D83">
        <w:rPr>
          <w:rFonts w:ascii="Arial" w:hAnsi="Arial" w:cs="Arial"/>
        </w:rPr>
        <w:t xml:space="preserve">83,6 % objemu českého vývozu bylo realizováno do zemí EU, což představuje stejnou úroveň jako v roce 2016. </w:t>
      </w:r>
    </w:p>
    <w:p w:rsidR="00A73D83" w:rsidRPr="00A73D83" w:rsidRDefault="00A73D83" w:rsidP="00A73D83">
      <w:pPr>
        <w:jc w:val="both"/>
        <w:rPr>
          <w:rFonts w:ascii="Arial" w:hAnsi="Arial" w:cs="Arial"/>
          <w:b/>
          <w:u w:val="single"/>
        </w:rPr>
      </w:pPr>
      <w:r w:rsidRPr="00A73D83">
        <w:rPr>
          <w:rFonts w:ascii="Arial" w:hAnsi="Arial" w:cs="Arial"/>
          <w:b/>
          <w:u w:val="single"/>
        </w:rPr>
        <w:lastRenderedPageBreak/>
        <w:t>Činnost ČEB a EGAP</w:t>
      </w:r>
    </w:p>
    <w:p w:rsidR="00A73D83" w:rsidRDefault="00A73D83" w:rsidP="00A73D83">
      <w:pPr>
        <w:jc w:val="both"/>
        <w:rPr>
          <w:rFonts w:ascii="Arial" w:hAnsi="Arial" w:cs="Arial"/>
        </w:rPr>
      </w:pPr>
      <w:r w:rsidRPr="00A73D83">
        <w:rPr>
          <w:rFonts w:ascii="Arial" w:hAnsi="Arial" w:cs="Arial"/>
        </w:rPr>
        <w:t xml:space="preserve">ČEB za 1. pololetí 2017 eviduje celkem </w:t>
      </w:r>
      <w:r w:rsidRPr="00A73D83">
        <w:rPr>
          <w:rFonts w:ascii="Arial" w:hAnsi="Arial" w:cs="Arial"/>
          <w:b/>
        </w:rPr>
        <w:t>33 smluv s malými a středními podniky</w:t>
      </w:r>
      <w:r w:rsidRPr="00A73D83">
        <w:rPr>
          <w:rFonts w:ascii="Arial" w:hAnsi="Arial" w:cs="Arial"/>
        </w:rPr>
        <w:t xml:space="preserve"> v hodnotě 357,82 mil. Kč, což činí 50,48 % z celkového objemu podepsaných smluv. </w:t>
      </w:r>
    </w:p>
    <w:p w:rsidR="00A73D83" w:rsidRPr="00A73D83" w:rsidRDefault="00A73D83" w:rsidP="00A73D83">
      <w:pPr>
        <w:jc w:val="both"/>
        <w:rPr>
          <w:rFonts w:ascii="Arial" w:hAnsi="Arial" w:cs="Arial"/>
        </w:rPr>
      </w:pPr>
      <w:r w:rsidRPr="00A73D83">
        <w:rPr>
          <w:rFonts w:ascii="Arial" w:hAnsi="Arial" w:cs="Arial"/>
        </w:rPr>
        <w:t xml:space="preserve">EGAP za 1. pololetí 2017 pojistil segment MSP prostřednictvím </w:t>
      </w:r>
      <w:r w:rsidRPr="00A73D83">
        <w:rPr>
          <w:rFonts w:ascii="Arial" w:hAnsi="Arial" w:cs="Arial"/>
          <w:b/>
        </w:rPr>
        <w:t>51 nových pojistných smluv</w:t>
      </w:r>
      <w:r w:rsidRPr="00A73D83">
        <w:rPr>
          <w:rFonts w:ascii="Arial" w:hAnsi="Arial" w:cs="Arial"/>
        </w:rPr>
        <w:t xml:space="preserve"> v objemu cca 1,29 mld. Kč. Podpora MSP se promítá i v jednodušším administrativním přístupu, který EGAP k MSP aplikuje již od roku 2014.</w:t>
      </w:r>
    </w:p>
    <w:p w:rsidR="00A73D83" w:rsidRPr="00A73D83" w:rsidRDefault="00A73D83" w:rsidP="00A73D83">
      <w:pPr>
        <w:jc w:val="both"/>
        <w:rPr>
          <w:rFonts w:ascii="Arial" w:hAnsi="Arial" w:cs="Arial"/>
        </w:rPr>
      </w:pPr>
      <w:r>
        <w:rPr>
          <w:rFonts w:ascii="Arial" w:hAnsi="Arial" w:cs="Arial"/>
        </w:rPr>
        <w:t xml:space="preserve">Akční plán stanovil </w:t>
      </w:r>
      <w:r w:rsidRPr="00A73D83">
        <w:rPr>
          <w:rFonts w:ascii="Arial" w:hAnsi="Arial" w:cs="Arial"/>
        </w:rPr>
        <w:t xml:space="preserve">jako samostatný cíl </w:t>
      </w:r>
      <w:r>
        <w:rPr>
          <w:rFonts w:ascii="Arial" w:hAnsi="Arial" w:cs="Arial"/>
        </w:rPr>
        <w:t>pro rok 2017</w:t>
      </w:r>
      <w:r w:rsidRPr="00A73D83">
        <w:rPr>
          <w:rFonts w:ascii="Arial" w:hAnsi="Arial" w:cs="Arial"/>
        </w:rPr>
        <w:t xml:space="preserve"> stabilizaci České exportní banky a Exportní garanční a pojišťovací společnosti. Usnesením vlády ze dne 15. 2. 2017 č. 122 byl schválen </w:t>
      </w:r>
      <w:r w:rsidRPr="00A73D83">
        <w:rPr>
          <w:rFonts w:ascii="Arial" w:hAnsi="Arial" w:cs="Arial"/>
          <w:b/>
        </w:rPr>
        <w:t>harmonogram</w:t>
      </w:r>
      <w:r w:rsidRPr="00A73D83">
        <w:rPr>
          <w:rFonts w:ascii="Arial" w:hAnsi="Arial" w:cs="Arial"/>
        </w:rPr>
        <w:t xml:space="preserve"> </w:t>
      </w:r>
      <w:r w:rsidRPr="00A73D83">
        <w:rPr>
          <w:rFonts w:ascii="Arial" w:hAnsi="Arial" w:cs="Arial"/>
          <w:b/>
        </w:rPr>
        <w:t>pro provedení objektivní ekonomické, právní a finanční analýzy</w:t>
      </w:r>
      <w:r w:rsidRPr="00A73D83">
        <w:rPr>
          <w:rFonts w:ascii="Arial" w:hAnsi="Arial" w:cs="Arial"/>
        </w:rPr>
        <w:t xml:space="preserve"> variant řešení a následné doporučení optimální varianty. Probíhá vyhodnocení možných variant budoucího uspořádání systém státem podpořeného exportního financování a pojišťování (ČEB, EGAP). Meziresortní pracovní skupina posuzuje proveditelnost, soulad s legislativou/nutnost úprav legislativy, slučitelnost s právem EU, dopady na státní rozpočet aj. Systém je rovněž posuzován z hlediska své udržitelnosti tak, aby bylo zamezeno </w:t>
      </w:r>
      <w:proofErr w:type="spellStart"/>
      <w:r w:rsidRPr="00A73D83">
        <w:rPr>
          <w:rFonts w:ascii="Arial" w:hAnsi="Arial" w:cs="Arial"/>
        </w:rPr>
        <w:t>suboptimálnímu</w:t>
      </w:r>
      <w:proofErr w:type="spellEnd"/>
      <w:r w:rsidRPr="00A73D83">
        <w:rPr>
          <w:rFonts w:ascii="Arial" w:hAnsi="Arial" w:cs="Arial"/>
        </w:rPr>
        <w:t xml:space="preserve"> vynakládání prostředků státního rozpočtu bez odpovídajícího ekonomického přínosu. Rovněž je sledováno, aby systém přispíval ke zvýšení konkurenceschopnosti exportérů v soutěži na světovém trhu. Důraz je kladen na odvětvovou a teritoriální diverzifikaci podpořeného exportu, segment malých a středních podniků a zvyšování inovativního potenciálu české ekonomiky.</w:t>
      </w:r>
    </w:p>
    <w:p w:rsidR="00A73D83" w:rsidRPr="00A73D83" w:rsidRDefault="00A73D83" w:rsidP="00A73D83">
      <w:pPr>
        <w:jc w:val="both"/>
        <w:rPr>
          <w:rFonts w:ascii="Arial" w:hAnsi="Arial" w:cs="Arial"/>
        </w:rPr>
      </w:pPr>
      <w:r w:rsidRPr="00A73D83">
        <w:rPr>
          <w:rFonts w:ascii="Arial" w:hAnsi="Arial" w:cs="Arial"/>
        </w:rPr>
        <w:t>Předložení souhrnného materiálu s výsledky expertního vyhodnocení úprav systému vládě ČR se předpokládá do prosince 2017.</w:t>
      </w:r>
    </w:p>
    <w:p w:rsidR="00A73D83" w:rsidRPr="00A73D83" w:rsidRDefault="00A73D83" w:rsidP="00A73D83">
      <w:pPr>
        <w:jc w:val="both"/>
        <w:rPr>
          <w:rFonts w:ascii="Arial" w:hAnsi="Arial" w:cs="Arial"/>
          <w:b/>
          <w:u w:val="single"/>
        </w:rPr>
      </w:pPr>
      <w:r w:rsidRPr="00A73D83">
        <w:rPr>
          <w:rFonts w:ascii="Arial" w:hAnsi="Arial" w:cs="Arial"/>
          <w:b/>
          <w:u w:val="single"/>
        </w:rPr>
        <w:t>Další nástroje podpory exportu a jejich využívání</w:t>
      </w:r>
    </w:p>
    <w:p w:rsidR="00A73D83" w:rsidRPr="00A73D83" w:rsidRDefault="00A73D83" w:rsidP="00A73D83">
      <w:pPr>
        <w:jc w:val="both"/>
        <w:rPr>
          <w:rFonts w:ascii="Arial" w:hAnsi="Arial" w:cs="Arial"/>
        </w:rPr>
      </w:pPr>
      <w:r w:rsidRPr="00A73D83">
        <w:rPr>
          <w:rFonts w:ascii="Arial" w:hAnsi="Arial" w:cs="Arial"/>
        </w:rPr>
        <w:t xml:space="preserve">K proexportní podpoře českých firem proběhly v 1. pololetí 2017 podnikatelské mise v doprovodu ministra průmyslu a obchodu do </w:t>
      </w:r>
      <w:r w:rsidRPr="00A73D83">
        <w:rPr>
          <w:rFonts w:ascii="Arial" w:hAnsi="Arial" w:cs="Arial"/>
          <w:b/>
        </w:rPr>
        <w:t>Ázerbájdžánu, Ruské federace a Ukraji</w:t>
      </w:r>
      <w:r w:rsidRPr="00A73D83">
        <w:rPr>
          <w:rFonts w:ascii="Arial" w:hAnsi="Arial" w:cs="Arial"/>
        </w:rPr>
        <w:t xml:space="preserve">ny.  Proexportně byla orientována i zasedání společných mezivládních orgánů pro hospodářskou spolupráci a pracovních skupin s Ázerbájdžánem, Kazachstánem, Běloruskem, Jihoafrickou republikou, Gruzií, Ruskou federací, Ukrajinou, Černou Horou a Polskem. </w:t>
      </w:r>
    </w:p>
    <w:p w:rsidR="00A73D83" w:rsidRPr="00A73D83" w:rsidRDefault="00A73D83" w:rsidP="00A73D83">
      <w:pPr>
        <w:jc w:val="both"/>
        <w:rPr>
          <w:rFonts w:ascii="Arial" w:hAnsi="Arial" w:cs="Arial"/>
        </w:rPr>
      </w:pPr>
      <w:r w:rsidRPr="00A73D83">
        <w:rPr>
          <w:rFonts w:ascii="Arial" w:hAnsi="Arial" w:cs="Arial"/>
        </w:rPr>
        <w:t>Ve spolupráci s podnikatelskými asociacemi se MPO podílelo na organizaci 28 business fór a seminářů a bylo realizováno 14 oficiálních účastí ČR na zahraničních veletrzích, kterých se účastnilo 144 firem/vystavovatelů. Bylo zorganizováno 6 incomingových misí zahraničních firem do ČR.</w:t>
      </w:r>
    </w:p>
    <w:p w:rsidR="00A73D83" w:rsidRDefault="00A73D83" w:rsidP="00A73D83">
      <w:pPr>
        <w:jc w:val="both"/>
        <w:rPr>
          <w:rFonts w:ascii="Arial" w:hAnsi="Arial" w:cs="Arial"/>
        </w:rPr>
      </w:pPr>
      <w:r w:rsidRPr="00A73D83">
        <w:rPr>
          <w:rFonts w:ascii="Arial" w:hAnsi="Arial" w:cs="Arial"/>
        </w:rPr>
        <w:t xml:space="preserve">Služby </w:t>
      </w:r>
      <w:r w:rsidRPr="00A73D83">
        <w:rPr>
          <w:rFonts w:ascii="Arial" w:hAnsi="Arial" w:cs="Arial"/>
          <w:b/>
        </w:rPr>
        <w:t>Klientského centra pro export</w:t>
      </w:r>
      <w:r w:rsidRPr="00A73D83">
        <w:rPr>
          <w:rFonts w:ascii="Arial" w:hAnsi="Arial" w:cs="Arial"/>
        </w:rPr>
        <w:t xml:space="preserve"> využilo v 1. pololetí 2017 a obrátilo se na něj s dotazem </w:t>
      </w:r>
      <w:r w:rsidRPr="00A73D83">
        <w:rPr>
          <w:rFonts w:ascii="Arial" w:hAnsi="Arial" w:cs="Arial"/>
          <w:b/>
        </w:rPr>
        <w:t>348 firem</w:t>
      </w:r>
      <w:r w:rsidRPr="00A73D83">
        <w:rPr>
          <w:rFonts w:ascii="Arial" w:hAnsi="Arial" w:cs="Arial"/>
        </w:rPr>
        <w:t xml:space="preserve">, což je o 10 % více než za stejné období roku 2016, z toho 80 firem jsou nové firmy, které ještě nevyužily služeb agentury </w:t>
      </w:r>
      <w:proofErr w:type="spellStart"/>
      <w:r w:rsidRPr="00A73D83">
        <w:rPr>
          <w:rFonts w:ascii="Arial" w:hAnsi="Arial" w:cs="Arial"/>
        </w:rPr>
        <w:t>CzechTrade</w:t>
      </w:r>
      <w:proofErr w:type="spellEnd"/>
      <w:r w:rsidRPr="00A73D83">
        <w:rPr>
          <w:rFonts w:ascii="Arial" w:hAnsi="Arial" w:cs="Arial"/>
        </w:rPr>
        <w:t xml:space="preserve">. </w:t>
      </w:r>
    </w:p>
    <w:p w:rsidR="00A73D83" w:rsidRDefault="00A73D83" w:rsidP="00A73D83">
      <w:pPr>
        <w:jc w:val="both"/>
        <w:rPr>
          <w:rFonts w:ascii="Arial" w:hAnsi="Arial" w:cs="Arial"/>
        </w:rPr>
      </w:pPr>
      <w:r w:rsidRPr="00A73D83">
        <w:rPr>
          <w:rFonts w:ascii="Arial" w:hAnsi="Arial" w:cs="Arial"/>
        </w:rPr>
        <w:t xml:space="preserve">V 1. pololetí 2017 využilo služby agentury </w:t>
      </w:r>
      <w:proofErr w:type="spellStart"/>
      <w:r w:rsidRPr="00A73D83">
        <w:rPr>
          <w:rFonts w:ascii="Arial" w:hAnsi="Arial" w:cs="Arial"/>
        </w:rPr>
        <w:t>CzechTrade</w:t>
      </w:r>
      <w:proofErr w:type="spellEnd"/>
      <w:r w:rsidRPr="00A73D83">
        <w:rPr>
          <w:rFonts w:ascii="Arial" w:hAnsi="Arial" w:cs="Arial"/>
        </w:rPr>
        <w:t xml:space="preserve"> </w:t>
      </w:r>
      <w:r w:rsidRPr="00A73D83">
        <w:rPr>
          <w:rFonts w:ascii="Arial" w:hAnsi="Arial" w:cs="Arial"/>
          <w:b/>
        </w:rPr>
        <w:t>714 podnikatelských subjektů</w:t>
      </w:r>
      <w:r w:rsidRPr="00A73D83">
        <w:rPr>
          <w:rFonts w:ascii="Arial" w:hAnsi="Arial" w:cs="Arial"/>
        </w:rPr>
        <w:t xml:space="preserve">, bylo poskytnuto 1168 služeb, podnikatelské subjekty se účastnily na 65 proexportních akcích </w:t>
      </w:r>
      <w:proofErr w:type="spellStart"/>
      <w:r w:rsidRPr="00A73D83">
        <w:rPr>
          <w:rFonts w:ascii="Arial" w:hAnsi="Arial" w:cs="Arial"/>
        </w:rPr>
        <w:t>CzechTrade</w:t>
      </w:r>
      <w:proofErr w:type="spellEnd"/>
      <w:r w:rsidRPr="00A73D83">
        <w:rPr>
          <w:rFonts w:ascii="Arial" w:hAnsi="Arial" w:cs="Arial"/>
        </w:rPr>
        <w:t xml:space="preserve">, proběhlo 20 akcí na veletrzích v rámci programů NOVUMM (financováno z OP PIK) s účastí 189 firem. Agentura </w:t>
      </w:r>
      <w:proofErr w:type="spellStart"/>
      <w:r w:rsidRPr="00A73D83">
        <w:rPr>
          <w:rFonts w:ascii="Arial" w:hAnsi="Arial" w:cs="Arial"/>
        </w:rPr>
        <w:t>CzechTrade</w:t>
      </w:r>
      <w:proofErr w:type="spellEnd"/>
      <w:r w:rsidRPr="00A73D83">
        <w:rPr>
          <w:rFonts w:ascii="Arial" w:hAnsi="Arial" w:cs="Arial"/>
        </w:rPr>
        <w:t xml:space="preserve"> v 1. pololetí 2017 uspořádala celkem 21 vzdělávacích akcí pro exportéry. </w:t>
      </w:r>
    </w:p>
    <w:p w:rsidR="00A73D83" w:rsidRPr="00A73D83" w:rsidRDefault="00A73D83" w:rsidP="00A73D83">
      <w:pPr>
        <w:jc w:val="both"/>
        <w:rPr>
          <w:rFonts w:ascii="Arial" w:hAnsi="Arial" w:cs="Arial"/>
          <w:b/>
        </w:rPr>
      </w:pPr>
      <w:r w:rsidRPr="00A73D83">
        <w:rPr>
          <w:rFonts w:ascii="Arial" w:hAnsi="Arial" w:cs="Arial"/>
        </w:rPr>
        <w:t>Dále agentura uspořádala 6 exportních, teritoriálně zaměřených fór v regionech; největší zájem byl o fórum zaměřen</w:t>
      </w:r>
      <w:r>
        <w:rPr>
          <w:rFonts w:ascii="Arial" w:hAnsi="Arial" w:cs="Arial"/>
        </w:rPr>
        <w:t>é</w:t>
      </w:r>
      <w:r w:rsidRPr="00A73D83">
        <w:rPr>
          <w:rFonts w:ascii="Arial" w:hAnsi="Arial" w:cs="Arial"/>
        </w:rPr>
        <w:t xml:space="preserve"> na obchod s Kazachstánem a Ázerbájdžánem v Plzni a Indií a </w:t>
      </w:r>
      <w:r w:rsidRPr="00A73D83">
        <w:rPr>
          <w:rFonts w:ascii="Arial" w:hAnsi="Arial" w:cs="Arial"/>
        </w:rPr>
        <w:lastRenderedPageBreak/>
        <w:t xml:space="preserve">Indonésií v Brně. Na portále BusinessInfo.cz bylo kromě jiných informací pro exportéry uveřejněno </w:t>
      </w:r>
      <w:r w:rsidRPr="00A73D83">
        <w:rPr>
          <w:rFonts w:ascii="Arial" w:hAnsi="Arial" w:cs="Arial"/>
          <w:b/>
        </w:rPr>
        <w:t>412 zahraničních poptávek</w:t>
      </w:r>
      <w:r w:rsidRPr="00A73D83">
        <w:rPr>
          <w:rFonts w:ascii="Arial" w:hAnsi="Arial" w:cs="Arial"/>
        </w:rPr>
        <w:t xml:space="preserve"> a </w:t>
      </w:r>
      <w:r w:rsidRPr="00A73D83">
        <w:rPr>
          <w:rFonts w:ascii="Arial" w:hAnsi="Arial" w:cs="Arial"/>
          <w:b/>
        </w:rPr>
        <w:t>748 informací o zahraničních tendrech</w:t>
      </w:r>
      <w:r w:rsidRPr="00A73D83">
        <w:rPr>
          <w:rFonts w:ascii="Arial" w:hAnsi="Arial" w:cs="Arial"/>
        </w:rPr>
        <w:t xml:space="preserve">. Agentura </w:t>
      </w:r>
      <w:proofErr w:type="spellStart"/>
      <w:r w:rsidRPr="00A73D83">
        <w:rPr>
          <w:rFonts w:ascii="Arial" w:hAnsi="Arial" w:cs="Arial"/>
        </w:rPr>
        <w:t>CzechTrade</w:t>
      </w:r>
      <w:proofErr w:type="spellEnd"/>
      <w:r w:rsidRPr="00A73D83">
        <w:rPr>
          <w:rFonts w:ascii="Arial" w:hAnsi="Arial" w:cs="Arial"/>
        </w:rPr>
        <w:t xml:space="preserve"> otevřela v lednu 2017 zatím poslední </w:t>
      </w:r>
      <w:r w:rsidRPr="00A73D83">
        <w:rPr>
          <w:rFonts w:ascii="Arial" w:hAnsi="Arial" w:cs="Arial"/>
          <w:b/>
        </w:rPr>
        <w:t>novou zahraniční kancelář v nigerijském Lagosu.</w:t>
      </w:r>
    </w:p>
    <w:p w:rsidR="00A73D83" w:rsidRPr="00A73D83" w:rsidRDefault="00A73D83" w:rsidP="00A73D83">
      <w:pPr>
        <w:jc w:val="both"/>
        <w:rPr>
          <w:rFonts w:ascii="Arial" w:hAnsi="Arial" w:cs="Arial"/>
        </w:rPr>
      </w:pPr>
      <w:r w:rsidRPr="00A73D83">
        <w:rPr>
          <w:rFonts w:ascii="Arial" w:hAnsi="Arial" w:cs="Arial"/>
        </w:rPr>
        <w:t xml:space="preserve">V souladu s aktualizovanou Exportní strategií ČR je průběžně vyhodnocována síť zahraničních kanceláří </w:t>
      </w:r>
      <w:proofErr w:type="spellStart"/>
      <w:r w:rsidRPr="00A73D83">
        <w:rPr>
          <w:rFonts w:ascii="Arial" w:hAnsi="Arial" w:cs="Arial"/>
        </w:rPr>
        <w:t>CzechTrade</w:t>
      </w:r>
      <w:proofErr w:type="spellEnd"/>
      <w:r w:rsidRPr="00A73D83">
        <w:rPr>
          <w:rFonts w:ascii="Arial" w:hAnsi="Arial" w:cs="Arial"/>
        </w:rPr>
        <w:t xml:space="preserve"> z hlediska výsledků kanceláří, vytíženosti a poptávky po službách agentury v daném regionu. V rámci této optimalizace byla přesunuta kapacita v rámci EU – nevyužitá kapacita zahraniční kanceláře v Bruselu bude využita pro </w:t>
      </w:r>
      <w:r w:rsidRPr="00A73D83">
        <w:rPr>
          <w:rFonts w:ascii="Arial" w:hAnsi="Arial" w:cs="Arial"/>
          <w:b/>
        </w:rPr>
        <w:t xml:space="preserve">zřízení nové kanceláře v Mnichově </w:t>
      </w:r>
      <w:r w:rsidRPr="00A73D83">
        <w:rPr>
          <w:rFonts w:ascii="Arial" w:hAnsi="Arial" w:cs="Arial"/>
        </w:rPr>
        <w:t>(plánováno na konec roku 2017). Na začátek roku 2018 také plánováno přesunutí uvolněné kapacity po ukončení činnosti zahraniční kanceláře Záhřeb, s největší pravděpodobností do teritoria mimo EU.</w:t>
      </w:r>
    </w:p>
    <w:p w:rsidR="00A73D83" w:rsidRPr="00A73D83" w:rsidRDefault="00A73D83" w:rsidP="00A73D83">
      <w:pPr>
        <w:jc w:val="both"/>
        <w:rPr>
          <w:rFonts w:ascii="Arial" w:hAnsi="Arial" w:cs="Arial"/>
        </w:rPr>
      </w:pPr>
      <w:r w:rsidRPr="00A73D83">
        <w:rPr>
          <w:rFonts w:ascii="Arial" w:hAnsi="Arial" w:cs="Arial"/>
        </w:rPr>
        <w:t xml:space="preserve">Probíhá také optimalizace fungování Jednotné zahraniční sítě prostřednictvím </w:t>
      </w:r>
      <w:r w:rsidRPr="00A73D83">
        <w:rPr>
          <w:rFonts w:ascii="Arial" w:hAnsi="Arial" w:cs="Arial"/>
          <w:b/>
        </w:rPr>
        <w:t>změn v zákoně o zahraniční službě</w:t>
      </w:r>
      <w:r w:rsidRPr="00A73D83">
        <w:rPr>
          <w:rFonts w:ascii="Arial" w:hAnsi="Arial" w:cs="Arial"/>
        </w:rPr>
        <w:t xml:space="preserve">, který vstoupil v platnost dne 1. 7. 2017. Na základě §12 a §13 novelizovaného zákona je možné působení zaměstnanců vysílajících organizací na zastupitelských úřadech, jejichž </w:t>
      </w:r>
      <w:r w:rsidRPr="00A73D83">
        <w:rPr>
          <w:rFonts w:ascii="Arial" w:hAnsi="Arial" w:cs="Arial"/>
          <w:b/>
        </w:rPr>
        <w:t>náplní práce je mj. podpora českých exportérů včetně MSP</w:t>
      </w:r>
      <w:r w:rsidRPr="00A73D83">
        <w:rPr>
          <w:rFonts w:ascii="Arial" w:hAnsi="Arial" w:cs="Arial"/>
        </w:rPr>
        <w:t>.</w:t>
      </w:r>
    </w:p>
    <w:p w:rsidR="00A73D83" w:rsidRPr="00A73D83" w:rsidRDefault="00A73D83" w:rsidP="00A73D83">
      <w:pPr>
        <w:jc w:val="both"/>
        <w:rPr>
          <w:rFonts w:ascii="Arial" w:hAnsi="Arial" w:cs="Arial"/>
        </w:rPr>
      </w:pPr>
      <w:r w:rsidRPr="00A73D83">
        <w:rPr>
          <w:rFonts w:ascii="Arial" w:hAnsi="Arial" w:cs="Arial"/>
        </w:rPr>
        <w:t>Vláda ČR na zasedání 19. 4. 2017 vzala na vědomí exekutivní shrnutí Zprávy o plnění Exportní strategie ČR za rok 2016. Další zpráva s hodnocením exportního působení za rok 2017 bude předložena vládě pro informaci do konce března 2018.</w:t>
      </w:r>
    </w:p>
    <w:p w:rsidR="00A73D83" w:rsidRPr="00A73D83" w:rsidRDefault="00A73D83" w:rsidP="00A73D83">
      <w:pPr>
        <w:jc w:val="both"/>
        <w:rPr>
          <w:rFonts w:ascii="Arial" w:hAnsi="Arial" w:cs="Arial"/>
        </w:rPr>
      </w:pPr>
      <w:r>
        <w:rPr>
          <w:rFonts w:ascii="Arial" w:hAnsi="Arial" w:cs="Arial"/>
        </w:rPr>
        <w:t xml:space="preserve">MPO také </w:t>
      </w:r>
      <w:r w:rsidR="00AF1547">
        <w:rPr>
          <w:rFonts w:ascii="Arial" w:hAnsi="Arial" w:cs="Arial"/>
        </w:rPr>
        <w:t>zpracovalo</w:t>
      </w:r>
      <w:r>
        <w:rPr>
          <w:rFonts w:ascii="Arial" w:hAnsi="Arial" w:cs="Arial"/>
        </w:rPr>
        <w:t xml:space="preserve"> </w:t>
      </w:r>
      <w:r w:rsidRPr="00AF1547">
        <w:rPr>
          <w:rFonts w:ascii="Arial" w:hAnsi="Arial" w:cs="Arial"/>
          <w:b/>
        </w:rPr>
        <w:t xml:space="preserve">analýzu možných dopadů </w:t>
      </w:r>
      <w:proofErr w:type="spellStart"/>
      <w:r w:rsidRPr="00AF1547">
        <w:rPr>
          <w:rFonts w:ascii="Arial" w:hAnsi="Arial" w:cs="Arial"/>
          <w:b/>
        </w:rPr>
        <w:t>brexitu</w:t>
      </w:r>
      <w:proofErr w:type="spellEnd"/>
      <w:r w:rsidRPr="00A73D83">
        <w:rPr>
          <w:rFonts w:ascii="Arial" w:hAnsi="Arial" w:cs="Arial"/>
        </w:rPr>
        <w:t xml:space="preserve"> na zahraniční obchod a naznač</w:t>
      </w:r>
      <w:r w:rsidR="00AF1547">
        <w:rPr>
          <w:rFonts w:ascii="Arial" w:hAnsi="Arial" w:cs="Arial"/>
        </w:rPr>
        <w:t xml:space="preserve">ilo </w:t>
      </w:r>
      <w:r w:rsidRPr="00A73D83">
        <w:rPr>
          <w:rFonts w:ascii="Arial" w:hAnsi="Arial" w:cs="Arial"/>
        </w:rPr>
        <w:t>variant</w:t>
      </w:r>
      <w:r w:rsidR="00AF1547">
        <w:rPr>
          <w:rFonts w:ascii="Arial" w:hAnsi="Arial" w:cs="Arial"/>
        </w:rPr>
        <w:t>y</w:t>
      </w:r>
      <w:r w:rsidRPr="00A73D83">
        <w:rPr>
          <w:rFonts w:ascii="Arial" w:hAnsi="Arial" w:cs="Arial"/>
        </w:rPr>
        <w:t xml:space="preserve"> dalšího vývoje</w:t>
      </w:r>
      <w:r>
        <w:rPr>
          <w:rFonts w:ascii="Arial" w:hAnsi="Arial" w:cs="Arial"/>
        </w:rPr>
        <w:t xml:space="preserve">. </w:t>
      </w:r>
      <w:r w:rsidR="00AF1547">
        <w:rPr>
          <w:rFonts w:ascii="Arial" w:hAnsi="Arial" w:cs="Arial"/>
        </w:rPr>
        <w:t>P</w:t>
      </w:r>
      <w:r>
        <w:rPr>
          <w:rFonts w:ascii="Arial" w:hAnsi="Arial" w:cs="Arial"/>
        </w:rPr>
        <w:t>rojednání</w:t>
      </w:r>
      <w:r w:rsidR="00AF1547">
        <w:rPr>
          <w:rFonts w:ascii="Arial" w:hAnsi="Arial" w:cs="Arial"/>
        </w:rPr>
        <w:t xml:space="preserve"> této analýzy</w:t>
      </w:r>
      <w:r w:rsidRPr="00A73D83">
        <w:rPr>
          <w:rFonts w:ascii="Arial" w:hAnsi="Arial" w:cs="Arial"/>
        </w:rPr>
        <w:t xml:space="preserve"> proběhlo v rámci činnosti Pracovní skupiny k otázce vystoupení Spojeného království z EU a pro řešení otázek spojených s budoucím směřováním EU.</w:t>
      </w:r>
      <w:r>
        <w:rPr>
          <w:rFonts w:ascii="Arial" w:hAnsi="Arial" w:cs="Arial"/>
        </w:rPr>
        <w:t xml:space="preserve"> Další kroky se budou odvíjet od konkrétní podoby podmínek vystoupení UK z EU.</w:t>
      </w:r>
    </w:p>
    <w:p w:rsidR="003C10C5" w:rsidRDefault="00AF1547" w:rsidP="007A661C">
      <w:pPr>
        <w:jc w:val="both"/>
        <w:rPr>
          <w:rFonts w:ascii="Arial" w:hAnsi="Arial" w:cs="Arial"/>
        </w:rPr>
      </w:pPr>
      <w:r>
        <w:rPr>
          <w:rFonts w:ascii="Arial" w:hAnsi="Arial" w:cs="Arial"/>
        </w:rPr>
        <w:t>Splněná opatření:</w:t>
      </w:r>
    </w:p>
    <w:tbl>
      <w:tblPr>
        <w:tblStyle w:val="Mkatabulky"/>
        <w:tblW w:w="0" w:type="auto"/>
        <w:tblLook w:val="04A0"/>
      </w:tblPr>
      <w:tblGrid>
        <w:gridCol w:w="817"/>
        <w:gridCol w:w="779"/>
        <w:gridCol w:w="4048"/>
        <w:gridCol w:w="985"/>
        <w:gridCol w:w="2659"/>
      </w:tblGrid>
      <w:tr w:rsidR="00AF1547" w:rsidTr="00AF1547">
        <w:tc>
          <w:tcPr>
            <w:tcW w:w="817" w:type="dxa"/>
          </w:tcPr>
          <w:p w:rsidR="00AF1547" w:rsidRDefault="00AF1547" w:rsidP="007A661C">
            <w:pPr>
              <w:jc w:val="both"/>
              <w:rPr>
                <w:rFonts w:ascii="Arial" w:hAnsi="Arial" w:cs="Arial"/>
              </w:rPr>
            </w:pPr>
            <w:r w:rsidRPr="00AF1547">
              <w:rPr>
                <w:rFonts w:ascii="Arial" w:hAnsi="Arial" w:cs="Arial"/>
              </w:rPr>
              <w:t>EXP1</w:t>
            </w:r>
          </w:p>
        </w:tc>
        <w:tc>
          <w:tcPr>
            <w:tcW w:w="779" w:type="dxa"/>
          </w:tcPr>
          <w:p w:rsidR="00AF1547" w:rsidRDefault="00AF1547" w:rsidP="007A661C">
            <w:pPr>
              <w:jc w:val="both"/>
              <w:rPr>
                <w:rFonts w:ascii="Arial" w:hAnsi="Arial" w:cs="Arial"/>
              </w:rPr>
            </w:pPr>
            <w:r w:rsidRPr="00AF1547">
              <w:rPr>
                <w:rFonts w:ascii="Arial" w:hAnsi="Arial" w:cs="Arial"/>
              </w:rPr>
              <w:t>MPO</w:t>
            </w:r>
          </w:p>
        </w:tc>
        <w:tc>
          <w:tcPr>
            <w:tcW w:w="4048" w:type="dxa"/>
          </w:tcPr>
          <w:p w:rsidR="00AF1547" w:rsidRDefault="00AF1547" w:rsidP="007A661C">
            <w:pPr>
              <w:jc w:val="both"/>
              <w:rPr>
                <w:rFonts w:ascii="Arial" w:hAnsi="Arial" w:cs="Arial"/>
              </w:rPr>
            </w:pPr>
            <w:r w:rsidRPr="00AF1547">
              <w:rPr>
                <w:rFonts w:ascii="Arial" w:hAnsi="Arial" w:cs="Arial"/>
              </w:rPr>
              <w:t>Rámcová pozice ke změnám Základního antidumpingového nařízení</w:t>
            </w:r>
          </w:p>
        </w:tc>
        <w:tc>
          <w:tcPr>
            <w:tcW w:w="985" w:type="dxa"/>
          </w:tcPr>
          <w:p w:rsidR="00AF1547" w:rsidRDefault="00AF1547" w:rsidP="007A661C">
            <w:pPr>
              <w:jc w:val="both"/>
              <w:rPr>
                <w:rFonts w:ascii="Arial" w:hAnsi="Arial" w:cs="Arial"/>
              </w:rPr>
            </w:pPr>
            <w:r w:rsidRPr="00AF1547">
              <w:rPr>
                <w:rFonts w:ascii="Arial" w:hAnsi="Arial" w:cs="Arial"/>
              </w:rPr>
              <w:t>II/2017</w:t>
            </w:r>
          </w:p>
        </w:tc>
        <w:tc>
          <w:tcPr>
            <w:tcW w:w="2659" w:type="dxa"/>
          </w:tcPr>
          <w:p w:rsidR="00AF1547" w:rsidRDefault="00AF1547" w:rsidP="007A661C">
            <w:pPr>
              <w:jc w:val="both"/>
              <w:rPr>
                <w:rFonts w:ascii="Arial" w:hAnsi="Arial" w:cs="Arial"/>
              </w:rPr>
            </w:pPr>
            <w:r w:rsidRPr="00AF1547">
              <w:rPr>
                <w:rFonts w:ascii="Arial" w:hAnsi="Arial" w:cs="Arial"/>
              </w:rPr>
              <w:t>Splněno.</w:t>
            </w:r>
          </w:p>
        </w:tc>
      </w:tr>
      <w:tr w:rsidR="00AF1547" w:rsidTr="00AF1547">
        <w:tc>
          <w:tcPr>
            <w:tcW w:w="817" w:type="dxa"/>
          </w:tcPr>
          <w:p w:rsidR="00AF1547" w:rsidRDefault="00AF1547" w:rsidP="007A661C">
            <w:pPr>
              <w:jc w:val="both"/>
              <w:rPr>
                <w:rFonts w:ascii="Arial" w:hAnsi="Arial" w:cs="Arial"/>
              </w:rPr>
            </w:pPr>
            <w:r w:rsidRPr="00AF1547">
              <w:rPr>
                <w:rFonts w:ascii="Arial" w:hAnsi="Arial" w:cs="Arial"/>
              </w:rPr>
              <w:t>EXP2</w:t>
            </w:r>
          </w:p>
        </w:tc>
        <w:tc>
          <w:tcPr>
            <w:tcW w:w="779" w:type="dxa"/>
          </w:tcPr>
          <w:p w:rsidR="00AF1547" w:rsidRDefault="00AF1547" w:rsidP="007A661C">
            <w:pPr>
              <w:jc w:val="both"/>
              <w:rPr>
                <w:rFonts w:ascii="Arial" w:hAnsi="Arial" w:cs="Arial"/>
              </w:rPr>
            </w:pPr>
            <w:r>
              <w:rPr>
                <w:rFonts w:ascii="Arial" w:hAnsi="Arial" w:cs="Arial"/>
              </w:rPr>
              <w:t xml:space="preserve">MPO, </w:t>
            </w:r>
            <w:r w:rsidRPr="00AF1547">
              <w:rPr>
                <w:rFonts w:ascii="Arial" w:hAnsi="Arial" w:cs="Arial"/>
              </w:rPr>
              <w:t>MZV</w:t>
            </w:r>
          </w:p>
        </w:tc>
        <w:tc>
          <w:tcPr>
            <w:tcW w:w="4048" w:type="dxa"/>
          </w:tcPr>
          <w:p w:rsidR="00AF1547" w:rsidRDefault="00AF1547" w:rsidP="007A661C">
            <w:pPr>
              <w:jc w:val="both"/>
              <w:rPr>
                <w:rFonts w:ascii="Arial" w:hAnsi="Arial" w:cs="Arial"/>
              </w:rPr>
            </w:pPr>
            <w:r w:rsidRPr="00AF1547">
              <w:rPr>
                <w:rFonts w:ascii="Arial" w:hAnsi="Arial" w:cs="Arial"/>
              </w:rPr>
              <w:t>Vyhodnocení využívání stávajících nástrojů v rámci vyhodnocení Exportní strategie ČR pro období 2012 až 2020</w:t>
            </w:r>
          </w:p>
        </w:tc>
        <w:tc>
          <w:tcPr>
            <w:tcW w:w="985" w:type="dxa"/>
          </w:tcPr>
          <w:p w:rsidR="00AF1547" w:rsidRDefault="00AF1547" w:rsidP="007A661C">
            <w:pPr>
              <w:jc w:val="both"/>
              <w:rPr>
                <w:rFonts w:ascii="Arial" w:hAnsi="Arial" w:cs="Arial"/>
              </w:rPr>
            </w:pPr>
            <w:r w:rsidRPr="00AF1547">
              <w:rPr>
                <w:rFonts w:ascii="Arial" w:hAnsi="Arial" w:cs="Arial"/>
              </w:rPr>
              <w:t>III/2017</w:t>
            </w:r>
          </w:p>
        </w:tc>
        <w:tc>
          <w:tcPr>
            <w:tcW w:w="2659" w:type="dxa"/>
          </w:tcPr>
          <w:p w:rsidR="00AF1547" w:rsidRDefault="00AF1547" w:rsidP="00AF1547">
            <w:pPr>
              <w:jc w:val="both"/>
              <w:rPr>
                <w:rFonts w:ascii="Arial" w:hAnsi="Arial" w:cs="Arial"/>
              </w:rPr>
            </w:pPr>
            <w:r w:rsidRPr="00AF1547">
              <w:rPr>
                <w:rFonts w:ascii="Arial" w:hAnsi="Arial" w:cs="Arial"/>
              </w:rPr>
              <w:t>Splněno.</w:t>
            </w:r>
          </w:p>
          <w:p w:rsidR="00AF1547" w:rsidRDefault="00AF1547" w:rsidP="007A661C">
            <w:pPr>
              <w:jc w:val="both"/>
              <w:rPr>
                <w:rFonts w:ascii="Arial" w:hAnsi="Arial" w:cs="Arial"/>
              </w:rPr>
            </w:pPr>
          </w:p>
        </w:tc>
      </w:tr>
      <w:tr w:rsidR="00AF1547" w:rsidTr="00AF1547">
        <w:tc>
          <w:tcPr>
            <w:tcW w:w="817" w:type="dxa"/>
          </w:tcPr>
          <w:p w:rsidR="00AF1547" w:rsidRDefault="00AF1547" w:rsidP="007A661C">
            <w:pPr>
              <w:jc w:val="both"/>
              <w:rPr>
                <w:rFonts w:ascii="Arial" w:hAnsi="Arial" w:cs="Arial"/>
              </w:rPr>
            </w:pPr>
            <w:r w:rsidRPr="00AF1547">
              <w:rPr>
                <w:rFonts w:ascii="Arial" w:hAnsi="Arial" w:cs="Arial"/>
              </w:rPr>
              <w:t>EXP4</w:t>
            </w:r>
          </w:p>
        </w:tc>
        <w:tc>
          <w:tcPr>
            <w:tcW w:w="779" w:type="dxa"/>
          </w:tcPr>
          <w:p w:rsidR="00AF1547" w:rsidRDefault="00AF1547" w:rsidP="007A661C">
            <w:pPr>
              <w:jc w:val="both"/>
              <w:rPr>
                <w:rFonts w:ascii="Arial" w:hAnsi="Arial" w:cs="Arial"/>
              </w:rPr>
            </w:pPr>
            <w:r>
              <w:rPr>
                <w:rFonts w:ascii="Arial" w:hAnsi="Arial" w:cs="Arial"/>
              </w:rPr>
              <w:t xml:space="preserve">ÚV, </w:t>
            </w:r>
            <w:r w:rsidRPr="00AF1547">
              <w:rPr>
                <w:rFonts w:ascii="Arial" w:hAnsi="Arial" w:cs="Arial"/>
              </w:rPr>
              <w:t>MPO, MZV</w:t>
            </w:r>
          </w:p>
        </w:tc>
        <w:tc>
          <w:tcPr>
            <w:tcW w:w="4048" w:type="dxa"/>
          </w:tcPr>
          <w:p w:rsidR="00AF1547" w:rsidRDefault="00AF1547" w:rsidP="007A661C">
            <w:pPr>
              <w:jc w:val="both"/>
              <w:rPr>
                <w:rFonts w:ascii="Arial" w:hAnsi="Arial" w:cs="Arial"/>
              </w:rPr>
            </w:pPr>
            <w:r w:rsidRPr="00AF1547">
              <w:rPr>
                <w:rFonts w:ascii="Arial" w:hAnsi="Arial" w:cs="Arial"/>
              </w:rPr>
              <w:t>Vyhodnocení potenciálních dopadů „</w:t>
            </w:r>
            <w:proofErr w:type="spellStart"/>
            <w:r w:rsidRPr="00AF1547">
              <w:rPr>
                <w:rFonts w:ascii="Arial" w:hAnsi="Arial" w:cs="Arial"/>
              </w:rPr>
              <w:t>brexitu</w:t>
            </w:r>
            <w:proofErr w:type="spellEnd"/>
            <w:r w:rsidRPr="00AF1547">
              <w:rPr>
                <w:rFonts w:ascii="Arial" w:hAnsi="Arial" w:cs="Arial"/>
              </w:rPr>
              <w:t xml:space="preserve">“ na </w:t>
            </w:r>
            <w:proofErr w:type="spellStart"/>
            <w:r w:rsidRPr="00AF1547">
              <w:rPr>
                <w:rFonts w:ascii="Arial" w:hAnsi="Arial" w:cs="Arial"/>
              </w:rPr>
              <w:t>zahr</w:t>
            </w:r>
            <w:proofErr w:type="spellEnd"/>
            <w:r w:rsidRPr="00AF1547">
              <w:rPr>
                <w:rFonts w:ascii="Arial" w:hAnsi="Arial" w:cs="Arial"/>
              </w:rPr>
              <w:t>. obchod  ČR a EU</w:t>
            </w:r>
          </w:p>
        </w:tc>
        <w:tc>
          <w:tcPr>
            <w:tcW w:w="985" w:type="dxa"/>
          </w:tcPr>
          <w:p w:rsidR="00AF1547" w:rsidRDefault="00AF1547" w:rsidP="007A661C">
            <w:pPr>
              <w:jc w:val="both"/>
              <w:rPr>
                <w:rFonts w:ascii="Arial" w:hAnsi="Arial" w:cs="Arial"/>
              </w:rPr>
            </w:pPr>
            <w:r w:rsidRPr="00AF1547">
              <w:rPr>
                <w:rFonts w:ascii="Arial" w:hAnsi="Arial" w:cs="Arial"/>
              </w:rPr>
              <w:t>III/2017</w:t>
            </w:r>
          </w:p>
        </w:tc>
        <w:tc>
          <w:tcPr>
            <w:tcW w:w="2659" w:type="dxa"/>
          </w:tcPr>
          <w:p w:rsidR="00AF1547" w:rsidRPr="00AF1547" w:rsidRDefault="00AF1547" w:rsidP="00AF1547">
            <w:pPr>
              <w:jc w:val="both"/>
              <w:rPr>
                <w:rFonts w:ascii="Arial" w:hAnsi="Arial" w:cs="Arial"/>
              </w:rPr>
            </w:pPr>
            <w:r w:rsidRPr="00AF1547">
              <w:rPr>
                <w:rFonts w:ascii="Arial" w:hAnsi="Arial" w:cs="Arial"/>
              </w:rPr>
              <w:t>Splněno.</w:t>
            </w:r>
          </w:p>
          <w:p w:rsidR="00AF1547" w:rsidRDefault="00AF1547" w:rsidP="007A661C">
            <w:pPr>
              <w:jc w:val="both"/>
              <w:rPr>
                <w:rFonts w:ascii="Arial" w:hAnsi="Arial" w:cs="Arial"/>
              </w:rPr>
            </w:pPr>
          </w:p>
        </w:tc>
      </w:tr>
    </w:tbl>
    <w:p w:rsidR="00AF1547" w:rsidRDefault="00AF1547" w:rsidP="007A661C">
      <w:pPr>
        <w:jc w:val="both"/>
        <w:rPr>
          <w:rFonts w:ascii="Arial" w:hAnsi="Arial" w:cs="Arial"/>
        </w:rPr>
      </w:pPr>
    </w:p>
    <w:p w:rsidR="00AF1547" w:rsidRPr="00AF1547" w:rsidRDefault="00AF1547" w:rsidP="00AF1547">
      <w:pPr>
        <w:jc w:val="both"/>
        <w:rPr>
          <w:rFonts w:ascii="Arial" w:hAnsi="Arial" w:cs="Arial"/>
        </w:rPr>
      </w:pPr>
      <w:r w:rsidRPr="00AF1547">
        <w:rPr>
          <w:rFonts w:ascii="Arial" w:hAnsi="Arial" w:cs="Arial"/>
        </w:rPr>
        <w:tab/>
      </w:r>
      <w:r w:rsidRPr="00AF1547">
        <w:rPr>
          <w:rFonts w:ascii="Arial" w:hAnsi="Arial" w:cs="Arial"/>
        </w:rPr>
        <w:tab/>
      </w:r>
      <w:r w:rsidRPr="00AF1547">
        <w:rPr>
          <w:rFonts w:ascii="Arial" w:hAnsi="Arial" w:cs="Arial"/>
        </w:rPr>
        <w:tab/>
      </w:r>
      <w:r w:rsidRPr="00AF1547">
        <w:rPr>
          <w:rFonts w:ascii="Arial" w:hAnsi="Arial" w:cs="Arial"/>
        </w:rPr>
        <w:tab/>
      </w:r>
      <w:r w:rsidRPr="00AF1547">
        <w:rPr>
          <w:rFonts w:ascii="Arial" w:hAnsi="Arial" w:cs="Arial"/>
        </w:rPr>
        <w:tab/>
      </w:r>
    </w:p>
    <w:p w:rsidR="00AF1547" w:rsidRPr="00AF1547" w:rsidRDefault="00AF1547" w:rsidP="00AF1547">
      <w:pPr>
        <w:jc w:val="both"/>
        <w:rPr>
          <w:rFonts w:ascii="Arial" w:hAnsi="Arial" w:cs="Arial"/>
        </w:rPr>
      </w:pPr>
      <w:r w:rsidRPr="00AF1547">
        <w:rPr>
          <w:rFonts w:ascii="Arial" w:hAnsi="Arial" w:cs="Arial"/>
        </w:rPr>
        <w:tab/>
      </w:r>
      <w:r w:rsidRPr="00AF1547">
        <w:rPr>
          <w:rFonts w:ascii="Arial" w:hAnsi="Arial" w:cs="Arial"/>
        </w:rPr>
        <w:tab/>
      </w:r>
      <w:r w:rsidRPr="00AF1547">
        <w:rPr>
          <w:rFonts w:ascii="Arial" w:hAnsi="Arial" w:cs="Arial"/>
        </w:rPr>
        <w:tab/>
      </w:r>
      <w:r w:rsidRPr="00AF1547">
        <w:rPr>
          <w:rFonts w:ascii="Arial" w:hAnsi="Arial" w:cs="Arial"/>
        </w:rPr>
        <w:tab/>
      </w:r>
      <w:r w:rsidRPr="00AF1547">
        <w:rPr>
          <w:rFonts w:ascii="Arial" w:hAnsi="Arial" w:cs="Arial"/>
        </w:rPr>
        <w:tab/>
      </w:r>
      <w:r w:rsidRPr="00AF1547">
        <w:rPr>
          <w:rFonts w:ascii="Arial" w:hAnsi="Arial" w:cs="Arial"/>
        </w:rPr>
        <w:tab/>
      </w:r>
      <w:r w:rsidRPr="00AF1547">
        <w:rPr>
          <w:rFonts w:ascii="Arial" w:hAnsi="Arial" w:cs="Arial"/>
        </w:rPr>
        <w:tab/>
      </w:r>
      <w:r w:rsidRPr="00AF1547">
        <w:rPr>
          <w:rFonts w:ascii="Arial" w:hAnsi="Arial" w:cs="Arial"/>
        </w:rPr>
        <w:tab/>
      </w:r>
    </w:p>
    <w:p w:rsidR="00AF1547" w:rsidRDefault="00AF1547" w:rsidP="00AF1547">
      <w:pPr>
        <w:jc w:val="both"/>
        <w:rPr>
          <w:rFonts w:ascii="Arial" w:hAnsi="Arial" w:cs="Arial"/>
        </w:rPr>
      </w:pPr>
    </w:p>
    <w:p w:rsidR="008827AF" w:rsidRDefault="008827AF" w:rsidP="00AF1547">
      <w:pPr>
        <w:jc w:val="both"/>
        <w:rPr>
          <w:rFonts w:ascii="Arial" w:hAnsi="Arial" w:cs="Arial"/>
        </w:rPr>
      </w:pPr>
    </w:p>
    <w:p w:rsidR="008827AF" w:rsidRDefault="008827AF" w:rsidP="00AF1547">
      <w:pPr>
        <w:jc w:val="both"/>
        <w:rPr>
          <w:rFonts w:ascii="Arial" w:hAnsi="Arial" w:cs="Arial"/>
        </w:rPr>
      </w:pPr>
    </w:p>
    <w:p w:rsidR="008827AF" w:rsidRDefault="008827AF" w:rsidP="00AF1547">
      <w:pPr>
        <w:jc w:val="both"/>
        <w:rPr>
          <w:rFonts w:ascii="Arial" w:hAnsi="Arial" w:cs="Arial"/>
        </w:rPr>
      </w:pPr>
    </w:p>
    <w:p w:rsidR="008827AF" w:rsidRPr="008827AF" w:rsidRDefault="008827AF" w:rsidP="008827AF">
      <w:pPr>
        <w:pBdr>
          <w:top w:val="single" w:sz="4" w:space="1" w:color="auto"/>
          <w:left w:val="single" w:sz="4" w:space="4" w:color="auto"/>
          <w:bottom w:val="single" w:sz="4" w:space="1" w:color="auto"/>
          <w:right w:val="single" w:sz="4" w:space="4" w:color="auto"/>
        </w:pBdr>
        <w:jc w:val="center"/>
        <w:rPr>
          <w:rFonts w:ascii="Arial" w:hAnsi="Arial" w:cs="Arial"/>
          <w:b/>
        </w:rPr>
      </w:pPr>
      <w:r w:rsidRPr="008827AF">
        <w:rPr>
          <w:rFonts w:ascii="Arial" w:hAnsi="Arial" w:cs="Arial"/>
          <w:b/>
        </w:rPr>
        <w:lastRenderedPageBreak/>
        <w:t>CÍL: Efektivní zacílení výzkumu, vývoje a inovací na podporu průmyslu a podnikání (VVI)</w:t>
      </w:r>
    </w:p>
    <w:p w:rsidR="008827AF" w:rsidRPr="008827AF" w:rsidRDefault="008827AF" w:rsidP="008827AF">
      <w:pPr>
        <w:pBdr>
          <w:top w:val="single" w:sz="4" w:space="1" w:color="auto"/>
          <w:left w:val="single" w:sz="4" w:space="4" w:color="auto"/>
          <w:bottom w:val="single" w:sz="4" w:space="1" w:color="auto"/>
          <w:right w:val="single" w:sz="4" w:space="4" w:color="auto"/>
        </w:pBdr>
        <w:jc w:val="center"/>
        <w:rPr>
          <w:rFonts w:ascii="Arial" w:hAnsi="Arial" w:cs="Arial"/>
          <w:i/>
        </w:rPr>
      </w:pPr>
      <w:r w:rsidRPr="008827AF">
        <w:rPr>
          <w:rFonts w:ascii="Arial" w:hAnsi="Arial" w:cs="Arial"/>
          <w:i/>
        </w:rPr>
        <w:t xml:space="preserve">Indikátor: návrh nových nástrojů pro lepší zacílení </w:t>
      </w:r>
      <w:proofErr w:type="spellStart"/>
      <w:r w:rsidRPr="008827AF">
        <w:rPr>
          <w:rFonts w:ascii="Arial" w:hAnsi="Arial" w:cs="Arial"/>
          <w:i/>
        </w:rPr>
        <w:t>VaVaI</w:t>
      </w:r>
      <w:proofErr w:type="spellEnd"/>
      <w:r w:rsidRPr="008827AF">
        <w:rPr>
          <w:rFonts w:ascii="Arial" w:hAnsi="Arial" w:cs="Arial"/>
          <w:i/>
        </w:rPr>
        <w:t xml:space="preserve"> na podporu průmyslu a podnikání (MVVI)</w:t>
      </w:r>
    </w:p>
    <w:p w:rsidR="008827AF" w:rsidRPr="008827AF" w:rsidRDefault="008827AF" w:rsidP="008827AF">
      <w:pPr>
        <w:jc w:val="both"/>
        <w:rPr>
          <w:rFonts w:ascii="Arial" w:hAnsi="Arial" w:cs="Arial"/>
        </w:rPr>
      </w:pPr>
      <w:r w:rsidRPr="008827AF">
        <w:rPr>
          <w:rFonts w:ascii="Arial" w:hAnsi="Arial" w:cs="Arial"/>
        </w:rPr>
        <w:t xml:space="preserve">K prohloubení systémové podpory </w:t>
      </w:r>
      <w:proofErr w:type="spellStart"/>
      <w:r w:rsidRPr="008827AF">
        <w:rPr>
          <w:rFonts w:ascii="Arial" w:hAnsi="Arial" w:cs="Arial"/>
        </w:rPr>
        <w:t>VaVaI</w:t>
      </w:r>
      <w:proofErr w:type="spellEnd"/>
      <w:r w:rsidRPr="008827AF">
        <w:rPr>
          <w:rFonts w:ascii="Arial" w:hAnsi="Arial" w:cs="Arial"/>
        </w:rPr>
        <w:t xml:space="preserve"> na podporu průmyslu a podnikání slouží od roku 2016 program Ministerstva průmyslu a obchodu </w:t>
      </w:r>
      <w:r w:rsidRPr="003F1865">
        <w:rPr>
          <w:rFonts w:ascii="Arial" w:hAnsi="Arial" w:cs="Arial"/>
          <w:b/>
        </w:rPr>
        <w:t>TRIO.</w:t>
      </w:r>
      <w:r w:rsidRPr="008827AF">
        <w:rPr>
          <w:rFonts w:ascii="Arial" w:hAnsi="Arial" w:cs="Arial"/>
        </w:rPr>
        <w:t xml:space="preserve">  Od roku 2017 běží nový program Technologické agentur</w:t>
      </w:r>
      <w:r>
        <w:rPr>
          <w:rFonts w:ascii="Arial" w:hAnsi="Arial" w:cs="Arial"/>
        </w:rPr>
        <w:t xml:space="preserve">y ĆR  </w:t>
      </w:r>
      <w:r w:rsidRPr="003F1865">
        <w:rPr>
          <w:rFonts w:ascii="Arial" w:hAnsi="Arial" w:cs="Arial"/>
          <w:b/>
        </w:rPr>
        <w:t>ZÉTA</w:t>
      </w:r>
      <w:r>
        <w:rPr>
          <w:rFonts w:ascii="Arial" w:hAnsi="Arial" w:cs="Arial"/>
        </w:rPr>
        <w:t xml:space="preserve"> , který má propojit</w:t>
      </w:r>
      <w:r w:rsidRPr="008827AF">
        <w:rPr>
          <w:rFonts w:ascii="Arial" w:hAnsi="Arial" w:cs="Arial"/>
        </w:rPr>
        <w:t xml:space="preserve"> akademickou a  hospodářskou sféru a do něhož se zapojí studenti a mladí výzkumníci.  Energetickému sektoru bude určen od roku 2018 vládou schválený program </w:t>
      </w:r>
      <w:r w:rsidRPr="003F1865">
        <w:rPr>
          <w:rFonts w:ascii="Arial" w:hAnsi="Arial" w:cs="Arial"/>
          <w:b/>
        </w:rPr>
        <w:t>THÉTA</w:t>
      </w:r>
      <w:r w:rsidRPr="008827AF">
        <w:rPr>
          <w:rFonts w:ascii="Arial" w:hAnsi="Arial" w:cs="Arial"/>
        </w:rPr>
        <w:t xml:space="preserve">. </w:t>
      </w:r>
    </w:p>
    <w:p w:rsidR="008827AF" w:rsidRDefault="008827AF" w:rsidP="008827AF">
      <w:pPr>
        <w:jc w:val="both"/>
        <w:rPr>
          <w:rFonts w:ascii="Arial" w:hAnsi="Arial" w:cs="Arial"/>
        </w:rPr>
      </w:pPr>
      <w:r w:rsidRPr="008827AF">
        <w:rPr>
          <w:rFonts w:ascii="Arial" w:hAnsi="Arial" w:cs="Arial"/>
        </w:rPr>
        <w:t xml:space="preserve">Vláda se v Akčním plánu zavázala, že navrhne kroky, kterými bude postupně vytvářen systém řízení aplikovaného výzkumu, a že se při tom inspiruje zejména německým </w:t>
      </w:r>
      <w:proofErr w:type="spellStart"/>
      <w:r w:rsidRPr="008827AF">
        <w:rPr>
          <w:rFonts w:ascii="Arial" w:hAnsi="Arial" w:cs="Arial"/>
        </w:rPr>
        <w:t>Fraunhofer</w:t>
      </w:r>
      <w:proofErr w:type="spellEnd"/>
      <w:r w:rsidRPr="008827AF">
        <w:rPr>
          <w:rFonts w:ascii="Arial" w:hAnsi="Arial" w:cs="Arial"/>
        </w:rPr>
        <w:t xml:space="preserve"> institutem. Usnesením vlády ze dne 10. 5. 2017 č. 354 byl schválen </w:t>
      </w:r>
      <w:r w:rsidRPr="003F1865">
        <w:rPr>
          <w:rFonts w:ascii="Arial" w:hAnsi="Arial" w:cs="Arial"/>
          <w:b/>
        </w:rPr>
        <w:t>program „Národní centra kompetence 1“</w:t>
      </w:r>
      <w:r w:rsidRPr="008827AF">
        <w:rPr>
          <w:rFonts w:ascii="Arial" w:hAnsi="Arial" w:cs="Arial"/>
        </w:rPr>
        <w:t xml:space="preserve"> realizovaný Technologickou agenturou ČR. Tento program má za úkol především nastartovat dlouhodobou spolupráci akademického a podnikatelského sektoru v oblasti aplikovaného výzkumu. </w:t>
      </w:r>
    </w:p>
    <w:p w:rsidR="008827AF" w:rsidRPr="003F1865" w:rsidRDefault="008827AF" w:rsidP="008827AF">
      <w:pPr>
        <w:jc w:val="both"/>
        <w:rPr>
          <w:rFonts w:ascii="Arial" w:hAnsi="Arial" w:cs="Arial"/>
          <w:b/>
        </w:rPr>
      </w:pPr>
      <w:r>
        <w:rPr>
          <w:rFonts w:ascii="Arial" w:hAnsi="Arial" w:cs="Arial"/>
        </w:rPr>
        <w:t>S</w:t>
      </w:r>
      <w:r w:rsidR="003F1865">
        <w:rPr>
          <w:rFonts w:ascii="Arial" w:hAnsi="Arial" w:cs="Arial"/>
        </w:rPr>
        <w:t xml:space="preserve">polupráce by měla probíhat </w:t>
      </w:r>
      <w:proofErr w:type="spellStart"/>
      <w:r w:rsidR="003F1865">
        <w:rPr>
          <w:rFonts w:ascii="Arial" w:hAnsi="Arial" w:cs="Arial"/>
        </w:rPr>
        <w:t>lokalizovaně</w:t>
      </w:r>
      <w:proofErr w:type="spellEnd"/>
      <w:r w:rsidRPr="008827AF">
        <w:rPr>
          <w:rFonts w:ascii="Arial" w:hAnsi="Arial" w:cs="Arial"/>
        </w:rPr>
        <w:t xml:space="preserve"> v centrech, která využijí potenciál regionálních center výzkumu a vývoje vybudovaných z prostředků ESF, a stanou se tzv. </w:t>
      </w:r>
      <w:r w:rsidRPr="003F1865">
        <w:rPr>
          <w:rFonts w:ascii="Arial" w:hAnsi="Arial" w:cs="Arial"/>
          <w:b/>
        </w:rPr>
        <w:t>sektorovými centry aplikovaného výzkumu</w:t>
      </w:r>
      <w:r w:rsidRPr="008827AF">
        <w:rPr>
          <w:rFonts w:ascii="Arial" w:hAnsi="Arial" w:cs="Arial"/>
        </w:rPr>
        <w:t xml:space="preserve">. Počáteční impuls bude vytvořen státní intervencí, následně by měla růst důvěra firem a jejich ochota více se finančně podílet na provozu center. Spolupráce se zahraničními agenturami bude rovněž podporována v rámci podpory spolupráce v aplikovaném výzkumu a experimentálním vývoji prostřednictvím </w:t>
      </w:r>
      <w:r w:rsidRPr="003F1865">
        <w:rPr>
          <w:rFonts w:ascii="Arial" w:hAnsi="Arial" w:cs="Arial"/>
          <w:b/>
        </w:rPr>
        <w:t>společných projektů technologických a inovačních agentur DELTA 2.</w:t>
      </w:r>
    </w:p>
    <w:p w:rsidR="008827AF" w:rsidRPr="00AF1547" w:rsidRDefault="008827AF" w:rsidP="008827AF">
      <w:pPr>
        <w:jc w:val="both"/>
        <w:rPr>
          <w:rFonts w:ascii="Arial" w:hAnsi="Arial" w:cs="Arial"/>
        </w:rPr>
      </w:pPr>
      <w:r w:rsidRPr="008827AF">
        <w:rPr>
          <w:rFonts w:ascii="Arial" w:hAnsi="Arial" w:cs="Arial"/>
        </w:rPr>
        <w:t xml:space="preserve">K lepšímu zacílení výdajů na výzkum a vývoj měl přispět i </w:t>
      </w:r>
      <w:r w:rsidRPr="003F1865">
        <w:rPr>
          <w:rFonts w:ascii="Arial" w:hAnsi="Arial" w:cs="Arial"/>
          <w:b/>
        </w:rPr>
        <w:t xml:space="preserve">zákon o podpoře </w:t>
      </w:r>
      <w:proofErr w:type="spellStart"/>
      <w:r w:rsidRPr="003F1865">
        <w:rPr>
          <w:rFonts w:ascii="Arial" w:hAnsi="Arial" w:cs="Arial"/>
          <w:b/>
        </w:rPr>
        <w:t>VaVaI</w:t>
      </w:r>
      <w:proofErr w:type="spellEnd"/>
      <w:r w:rsidRPr="003F1865">
        <w:rPr>
          <w:rFonts w:ascii="Arial" w:hAnsi="Arial" w:cs="Arial"/>
          <w:b/>
        </w:rPr>
        <w:t>, ten však do 30. června 2017 nebyl předložen vládě</w:t>
      </w:r>
      <w:r w:rsidRPr="008827AF">
        <w:rPr>
          <w:rFonts w:ascii="Arial" w:hAnsi="Arial" w:cs="Arial"/>
        </w:rPr>
        <w:t xml:space="preserve"> a nebude tedy projednán ani Poslaneckou sněmovnou.</w:t>
      </w:r>
    </w:p>
    <w:p w:rsidR="00AF1547" w:rsidRDefault="008827AF" w:rsidP="00AF1547">
      <w:pPr>
        <w:jc w:val="both"/>
        <w:rPr>
          <w:rFonts w:ascii="Arial" w:hAnsi="Arial" w:cs="Arial"/>
        </w:rPr>
      </w:pPr>
      <w:r>
        <w:rPr>
          <w:rFonts w:ascii="Arial" w:hAnsi="Arial" w:cs="Arial"/>
        </w:rPr>
        <w:t>Splněná opatření:</w:t>
      </w:r>
    </w:p>
    <w:tbl>
      <w:tblPr>
        <w:tblStyle w:val="Mkatabulky"/>
        <w:tblW w:w="0" w:type="auto"/>
        <w:tblLook w:val="04A0"/>
      </w:tblPr>
      <w:tblGrid>
        <w:gridCol w:w="693"/>
        <w:gridCol w:w="833"/>
        <w:gridCol w:w="4000"/>
        <w:gridCol w:w="975"/>
        <w:gridCol w:w="2711"/>
      </w:tblGrid>
      <w:tr w:rsidR="008827AF" w:rsidTr="003F1865">
        <w:tc>
          <w:tcPr>
            <w:tcW w:w="693" w:type="dxa"/>
          </w:tcPr>
          <w:p w:rsidR="008827AF" w:rsidRDefault="008827AF" w:rsidP="00AF1547">
            <w:pPr>
              <w:jc w:val="both"/>
              <w:rPr>
                <w:rFonts w:ascii="Arial" w:hAnsi="Arial" w:cs="Arial"/>
              </w:rPr>
            </w:pPr>
            <w:r w:rsidRPr="008827AF">
              <w:rPr>
                <w:rFonts w:ascii="Arial" w:hAnsi="Arial" w:cs="Arial"/>
              </w:rPr>
              <w:t>VVI2</w:t>
            </w:r>
          </w:p>
        </w:tc>
        <w:tc>
          <w:tcPr>
            <w:tcW w:w="833" w:type="dxa"/>
          </w:tcPr>
          <w:p w:rsidR="008827AF" w:rsidRDefault="008827AF" w:rsidP="00AF1547">
            <w:pPr>
              <w:jc w:val="both"/>
              <w:rPr>
                <w:rFonts w:ascii="Arial" w:hAnsi="Arial" w:cs="Arial"/>
              </w:rPr>
            </w:pPr>
            <w:r>
              <w:rPr>
                <w:rFonts w:ascii="Arial" w:hAnsi="Arial" w:cs="Arial"/>
              </w:rPr>
              <w:t xml:space="preserve">MVVI, </w:t>
            </w:r>
            <w:r w:rsidRPr="008827AF">
              <w:rPr>
                <w:rFonts w:ascii="Arial" w:hAnsi="Arial" w:cs="Arial"/>
              </w:rPr>
              <w:t>MZV, MPO</w:t>
            </w:r>
          </w:p>
        </w:tc>
        <w:tc>
          <w:tcPr>
            <w:tcW w:w="4000" w:type="dxa"/>
          </w:tcPr>
          <w:p w:rsidR="008827AF" w:rsidRDefault="003F1865" w:rsidP="00AF1547">
            <w:pPr>
              <w:jc w:val="both"/>
              <w:rPr>
                <w:rFonts w:ascii="Arial" w:hAnsi="Arial" w:cs="Arial"/>
              </w:rPr>
            </w:pPr>
            <w:r w:rsidRPr="008827AF">
              <w:rPr>
                <w:rFonts w:ascii="Arial" w:hAnsi="Arial" w:cs="Arial"/>
              </w:rPr>
              <w:t xml:space="preserve">Návrh kroků k vytvoření nového systému řízení aplikovaného výzkumu s využitím zkušeností ze zahraničí (zejména německý institut </w:t>
            </w:r>
            <w:proofErr w:type="spellStart"/>
            <w:r w:rsidRPr="008827AF">
              <w:rPr>
                <w:rFonts w:ascii="Arial" w:hAnsi="Arial" w:cs="Arial"/>
              </w:rPr>
              <w:t>Frauenhofer</w:t>
            </w:r>
            <w:proofErr w:type="spellEnd"/>
            <w:r w:rsidRPr="008827AF">
              <w:rPr>
                <w:rFonts w:ascii="Arial" w:hAnsi="Arial" w:cs="Arial"/>
              </w:rPr>
              <w:t>)</w:t>
            </w:r>
          </w:p>
        </w:tc>
        <w:tc>
          <w:tcPr>
            <w:tcW w:w="975" w:type="dxa"/>
          </w:tcPr>
          <w:p w:rsidR="008827AF" w:rsidRDefault="003F1865" w:rsidP="00AF1547">
            <w:pPr>
              <w:jc w:val="both"/>
              <w:rPr>
                <w:rFonts w:ascii="Arial" w:hAnsi="Arial" w:cs="Arial"/>
              </w:rPr>
            </w:pPr>
            <w:r w:rsidRPr="008827AF">
              <w:rPr>
                <w:rFonts w:ascii="Arial" w:hAnsi="Arial" w:cs="Arial"/>
              </w:rPr>
              <w:t>VI/2017</w:t>
            </w:r>
          </w:p>
        </w:tc>
        <w:tc>
          <w:tcPr>
            <w:tcW w:w="2711" w:type="dxa"/>
          </w:tcPr>
          <w:p w:rsidR="008827AF" w:rsidRDefault="003F1865" w:rsidP="00AF1547">
            <w:pPr>
              <w:jc w:val="both"/>
              <w:rPr>
                <w:rFonts w:ascii="Arial" w:hAnsi="Arial" w:cs="Arial"/>
              </w:rPr>
            </w:pPr>
            <w:r>
              <w:rPr>
                <w:rFonts w:ascii="Arial" w:hAnsi="Arial" w:cs="Arial"/>
              </w:rPr>
              <w:t>Splněno.</w:t>
            </w:r>
          </w:p>
        </w:tc>
      </w:tr>
    </w:tbl>
    <w:p w:rsidR="008827AF" w:rsidRDefault="008827AF" w:rsidP="00AF1547">
      <w:pPr>
        <w:jc w:val="both"/>
        <w:rPr>
          <w:rFonts w:ascii="Arial" w:hAnsi="Arial" w:cs="Arial"/>
        </w:rPr>
      </w:pPr>
    </w:p>
    <w:p w:rsidR="008827AF" w:rsidRPr="008827AF" w:rsidRDefault="008827AF" w:rsidP="008827AF">
      <w:pPr>
        <w:jc w:val="both"/>
        <w:rPr>
          <w:rFonts w:ascii="Arial" w:hAnsi="Arial" w:cs="Arial"/>
        </w:rPr>
      </w:pPr>
      <w:r w:rsidRPr="008827AF">
        <w:rPr>
          <w:rFonts w:ascii="Arial" w:hAnsi="Arial" w:cs="Arial"/>
        </w:rPr>
        <w:tab/>
      </w:r>
      <w:r w:rsidRPr="008827AF">
        <w:rPr>
          <w:rFonts w:ascii="Arial" w:hAnsi="Arial" w:cs="Arial"/>
        </w:rPr>
        <w:tab/>
      </w:r>
      <w:r w:rsidRPr="008827AF">
        <w:rPr>
          <w:rFonts w:ascii="Arial" w:hAnsi="Arial" w:cs="Arial"/>
        </w:rPr>
        <w:tab/>
      </w:r>
      <w:r w:rsidRPr="008827AF">
        <w:rPr>
          <w:rFonts w:ascii="Arial" w:hAnsi="Arial" w:cs="Arial"/>
        </w:rPr>
        <w:tab/>
      </w:r>
    </w:p>
    <w:p w:rsidR="008827AF" w:rsidRPr="008827AF" w:rsidRDefault="008827AF" w:rsidP="008827AF">
      <w:pPr>
        <w:jc w:val="both"/>
        <w:rPr>
          <w:rFonts w:ascii="Arial" w:hAnsi="Arial" w:cs="Arial"/>
        </w:rPr>
      </w:pPr>
    </w:p>
    <w:p w:rsidR="008827AF" w:rsidRDefault="008827AF" w:rsidP="00AF1547">
      <w:pPr>
        <w:jc w:val="both"/>
        <w:rPr>
          <w:rFonts w:ascii="Arial" w:hAnsi="Arial" w:cs="Arial"/>
        </w:rPr>
      </w:pPr>
    </w:p>
    <w:p w:rsidR="00552998" w:rsidRDefault="00552998" w:rsidP="00AF1547">
      <w:pPr>
        <w:jc w:val="both"/>
        <w:rPr>
          <w:rFonts w:ascii="Arial" w:hAnsi="Arial" w:cs="Arial"/>
        </w:rPr>
      </w:pPr>
    </w:p>
    <w:p w:rsidR="00552998" w:rsidRDefault="00552998" w:rsidP="00AF1547">
      <w:pPr>
        <w:jc w:val="both"/>
        <w:rPr>
          <w:rFonts w:ascii="Arial" w:hAnsi="Arial" w:cs="Arial"/>
        </w:rPr>
      </w:pPr>
    </w:p>
    <w:p w:rsidR="00552998" w:rsidRDefault="00552998" w:rsidP="00AF1547">
      <w:pPr>
        <w:jc w:val="both"/>
        <w:rPr>
          <w:rFonts w:ascii="Arial" w:hAnsi="Arial" w:cs="Arial"/>
        </w:rPr>
      </w:pPr>
    </w:p>
    <w:p w:rsidR="00552998" w:rsidRDefault="00552998" w:rsidP="00AF1547">
      <w:pPr>
        <w:jc w:val="both"/>
        <w:rPr>
          <w:rFonts w:ascii="Arial" w:hAnsi="Arial" w:cs="Arial"/>
        </w:rPr>
      </w:pPr>
    </w:p>
    <w:p w:rsidR="00552998" w:rsidRPr="00B05392" w:rsidRDefault="00552998" w:rsidP="00552998">
      <w:pPr>
        <w:pStyle w:val="Nadpis2"/>
      </w:pPr>
      <w:bookmarkStart w:id="3" w:name="_Toc466900829"/>
      <w:r w:rsidRPr="00DF0EAF">
        <w:lastRenderedPageBreak/>
        <w:t>Příprava na budoucnost</w:t>
      </w:r>
      <w:bookmarkEnd w:id="3"/>
    </w:p>
    <w:p w:rsidR="00552998" w:rsidRDefault="00552998" w:rsidP="00552998">
      <w:pPr>
        <w:jc w:val="both"/>
        <w:rPr>
          <w:rFonts w:ascii="Arial" w:hAnsi="Arial" w:cs="Arial"/>
          <w:b/>
        </w:rPr>
      </w:pPr>
    </w:p>
    <w:p w:rsidR="00552998" w:rsidRPr="00552998" w:rsidRDefault="00552998" w:rsidP="00552998">
      <w:pPr>
        <w:pBdr>
          <w:top w:val="single" w:sz="4" w:space="1" w:color="auto"/>
          <w:left w:val="single" w:sz="4" w:space="4" w:color="auto"/>
          <w:bottom w:val="single" w:sz="4" w:space="1" w:color="auto"/>
          <w:right w:val="single" w:sz="4" w:space="4" w:color="auto"/>
        </w:pBdr>
        <w:jc w:val="center"/>
        <w:rPr>
          <w:rFonts w:ascii="Arial" w:hAnsi="Arial" w:cs="Arial"/>
          <w:b/>
        </w:rPr>
      </w:pPr>
      <w:r w:rsidRPr="00552998">
        <w:rPr>
          <w:rFonts w:ascii="Arial" w:hAnsi="Arial" w:cs="Arial"/>
          <w:b/>
        </w:rPr>
        <w:t>CÍL: Strategická energetická politika a péče o přírodní zdroje (ENV)</w:t>
      </w:r>
    </w:p>
    <w:p w:rsidR="00552998" w:rsidRPr="00552998" w:rsidRDefault="00552998" w:rsidP="00552998">
      <w:pPr>
        <w:pBdr>
          <w:top w:val="single" w:sz="4" w:space="1" w:color="auto"/>
          <w:left w:val="single" w:sz="4" w:space="4" w:color="auto"/>
          <w:bottom w:val="single" w:sz="4" w:space="1" w:color="auto"/>
          <w:right w:val="single" w:sz="4" w:space="4" w:color="auto"/>
        </w:pBdr>
        <w:jc w:val="center"/>
        <w:rPr>
          <w:rFonts w:ascii="Arial" w:hAnsi="Arial" w:cs="Arial"/>
          <w:i/>
        </w:rPr>
      </w:pPr>
      <w:r w:rsidRPr="00552998">
        <w:rPr>
          <w:rFonts w:ascii="Arial" w:hAnsi="Arial" w:cs="Arial"/>
          <w:i/>
        </w:rPr>
        <w:t>Indikátor: existence a realizace strategických dokumentů a harmonogramu prací (MPO, MZE, MŽP)</w:t>
      </w:r>
    </w:p>
    <w:p w:rsidR="00552998" w:rsidRPr="00552998" w:rsidRDefault="00552998" w:rsidP="00552998">
      <w:pPr>
        <w:jc w:val="both"/>
        <w:rPr>
          <w:rFonts w:ascii="Arial" w:hAnsi="Arial" w:cs="Arial"/>
        </w:rPr>
      </w:pPr>
      <w:r w:rsidRPr="00552998">
        <w:rPr>
          <w:rFonts w:ascii="Arial" w:hAnsi="Arial" w:cs="Arial"/>
        </w:rPr>
        <w:t xml:space="preserve">Vláda v prvním pololetí roku 2017 přijala několika strategických a koncepčních dokumentů, </w:t>
      </w:r>
      <w:r w:rsidR="00B616CA">
        <w:rPr>
          <w:rFonts w:ascii="Arial" w:hAnsi="Arial" w:cs="Arial"/>
        </w:rPr>
        <w:t xml:space="preserve">které se dotýkají energetiky a přírodních zdrojů. Je to </w:t>
      </w:r>
      <w:r w:rsidRPr="00552998">
        <w:rPr>
          <w:rFonts w:ascii="Arial" w:hAnsi="Arial" w:cs="Arial"/>
        </w:rPr>
        <w:t>především:</w:t>
      </w:r>
    </w:p>
    <w:p w:rsidR="00552998" w:rsidRPr="00552998" w:rsidRDefault="00552998" w:rsidP="00552998">
      <w:pPr>
        <w:jc w:val="both"/>
        <w:rPr>
          <w:rFonts w:ascii="Arial" w:hAnsi="Arial" w:cs="Arial"/>
        </w:rPr>
      </w:pPr>
      <w:r w:rsidRPr="00552998">
        <w:rPr>
          <w:rFonts w:ascii="Arial" w:hAnsi="Arial" w:cs="Arial"/>
          <w:b/>
        </w:rPr>
        <w:t>Národní akční plán adaptace na změnu klimatu</w:t>
      </w:r>
      <w:r w:rsidRPr="00552998">
        <w:rPr>
          <w:rFonts w:ascii="Arial" w:hAnsi="Arial" w:cs="Arial"/>
        </w:rPr>
        <w:t xml:space="preserve"> (schválen 16. ledna 2017)</w:t>
      </w:r>
    </w:p>
    <w:p w:rsidR="00552998" w:rsidRPr="00552998" w:rsidRDefault="00552998" w:rsidP="00552998">
      <w:pPr>
        <w:jc w:val="both"/>
        <w:rPr>
          <w:rFonts w:ascii="Arial" w:hAnsi="Arial" w:cs="Arial"/>
        </w:rPr>
      </w:pPr>
      <w:r w:rsidRPr="00552998">
        <w:rPr>
          <w:rFonts w:ascii="Arial" w:hAnsi="Arial" w:cs="Arial"/>
        </w:rPr>
        <w:t>Národní akční plán adaptace na změnu klimatu (NAP adaptace) je implementačním dokumentem schválené Strategie přizpůsobení se změně klimatu v podmínkách ČR (Adaptační strategie). NAP adaptace definuje hlavní projevy změny klimatu (dlouhodobé sucho, povodně a přívalové srážky, zvyšování teplot, extrémní meteorologické jevy a přírodní požáry) a identifikuje relevantní adaptační opatření k daným projevům. Celkem obsahuje 52 prioritních opatření, která budou naplňována 160 úkoly. Úkoly se týkají průřezově všech resortů – mají určené gestory, termíny a zdroje financování. Ve většině se jedná o úkoly již stanovené v různých resortních strategiích. Koordinátorem adaptace je určen ministr životního prostředí.</w:t>
      </w:r>
    </w:p>
    <w:p w:rsidR="00552998" w:rsidRPr="00552998" w:rsidRDefault="00552998" w:rsidP="00552998">
      <w:pPr>
        <w:jc w:val="both"/>
        <w:rPr>
          <w:rFonts w:ascii="Arial" w:hAnsi="Arial" w:cs="Arial"/>
        </w:rPr>
      </w:pPr>
      <w:r w:rsidRPr="00B616CA">
        <w:rPr>
          <w:rFonts w:ascii="Arial" w:hAnsi="Arial" w:cs="Arial"/>
          <w:b/>
        </w:rPr>
        <w:t>Politika ochrany klimatu</w:t>
      </w:r>
      <w:r w:rsidRPr="00552998">
        <w:rPr>
          <w:rFonts w:ascii="Arial" w:hAnsi="Arial" w:cs="Arial"/>
        </w:rPr>
        <w:t xml:space="preserve"> (přijata 22. března 2017)</w:t>
      </w:r>
    </w:p>
    <w:p w:rsidR="00552998" w:rsidRPr="00552998" w:rsidRDefault="00552998" w:rsidP="00552998">
      <w:pPr>
        <w:jc w:val="both"/>
        <w:rPr>
          <w:rFonts w:ascii="Arial" w:hAnsi="Arial" w:cs="Arial"/>
        </w:rPr>
      </w:pPr>
      <w:r w:rsidRPr="00552998">
        <w:rPr>
          <w:rFonts w:ascii="Arial" w:hAnsi="Arial" w:cs="Arial"/>
        </w:rPr>
        <w:t>Politika představuje strategii v oblasti ochrany klimatu do roku 2030, s výhledem přechodu na nízkouhlíkové hospodářství do roku 2050. Definuje hlavní cíle a opatření v oblasti ochrany klimatu tak, aby zajišťovala splnění cílů snižování emisí skleníkových plynů v návaznosti na povinnosti vyplývající z mezinárodních dohod a evropské legislativy, včetně indikativního cíle snížení emisí skleníkových plynů o 80 % do roku 2050. Politika vychází z podrobných projekcí emisí a propadů skleníkových plynů do roku 2030 a obsahuje rovněž ilustrativní scénáře nízkouhlíkového rozvoje do roku 2050.</w:t>
      </w:r>
    </w:p>
    <w:p w:rsidR="00B616CA" w:rsidRDefault="00552998" w:rsidP="00552998">
      <w:pPr>
        <w:jc w:val="both"/>
        <w:rPr>
          <w:rFonts w:ascii="Arial" w:hAnsi="Arial" w:cs="Arial"/>
        </w:rPr>
      </w:pPr>
      <w:r w:rsidRPr="00B616CA">
        <w:rPr>
          <w:rFonts w:ascii="Arial" w:hAnsi="Arial" w:cs="Arial"/>
          <w:b/>
        </w:rPr>
        <w:t>Koncepce ochrany před následky sucha pro území České republiky</w:t>
      </w:r>
      <w:r w:rsidRPr="00552998">
        <w:rPr>
          <w:rFonts w:ascii="Arial" w:hAnsi="Arial" w:cs="Arial"/>
        </w:rPr>
        <w:t xml:space="preserve"> (schválena dne 24. července 2017). </w:t>
      </w:r>
    </w:p>
    <w:p w:rsidR="00552998" w:rsidRPr="00552998" w:rsidRDefault="00552998" w:rsidP="00552998">
      <w:pPr>
        <w:jc w:val="both"/>
        <w:rPr>
          <w:rFonts w:ascii="Arial" w:hAnsi="Arial" w:cs="Arial"/>
        </w:rPr>
      </w:pPr>
      <w:r w:rsidRPr="00552998">
        <w:rPr>
          <w:rFonts w:ascii="Arial" w:hAnsi="Arial" w:cs="Arial"/>
        </w:rPr>
        <w:t xml:space="preserve">Tato koncepce předpokládá výstavbu významných vodních nádrží jako jedno z opatření proti suchu a nedostatku vody. V současnosti se připravují přehradní nádrže v povodí Zdobnice (vodní dílo Pěčín), Vláry (vodní dílo </w:t>
      </w:r>
      <w:proofErr w:type="spellStart"/>
      <w:r w:rsidRPr="00552998">
        <w:rPr>
          <w:rFonts w:ascii="Arial" w:hAnsi="Arial" w:cs="Arial"/>
        </w:rPr>
        <w:t>Vlachovice</w:t>
      </w:r>
      <w:proofErr w:type="spellEnd"/>
      <w:r w:rsidRPr="00552998">
        <w:rPr>
          <w:rFonts w:ascii="Arial" w:hAnsi="Arial" w:cs="Arial"/>
        </w:rPr>
        <w:t xml:space="preserve">), Rakovnického a </w:t>
      </w:r>
      <w:proofErr w:type="spellStart"/>
      <w:r w:rsidRPr="00552998">
        <w:rPr>
          <w:rFonts w:ascii="Arial" w:hAnsi="Arial" w:cs="Arial"/>
        </w:rPr>
        <w:t>Kolešovického</w:t>
      </w:r>
      <w:proofErr w:type="spellEnd"/>
      <w:r w:rsidRPr="00552998">
        <w:rPr>
          <w:rFonts w:ascii="Arial" w:hAnsi="Arial" w:cs="Arial"/>
        </w:rPr>
        <w:t xml:space="preserve"> potoka (vodní dílo Senomaty a Šanov). Dle usnesení vlády č. 727 ze dne 24. 8. 2016 se zpracovávají studie, zejm. komplexní návrhy přírodě blízkých opatření s termínem dokončení 12/2017.</w:t>
      </w:r>
    </w:p>
    <w:p w:rsidR="00B616CA" w:rsidRDefault="00552998" w:rsidP="00552998">
      <w:pPr>
        <w:jc w:val="both"/>
        <w:rPr>
          <w:rFonts w:ascii="Arial" w:hAnsi="Arial" w:cs="Arial"/>
        </w:rPr>
      </w:pPr>
      <w:r w:rsidRPr="00B616CA">
        <w:rPr>
          <w:rFonts w:ascii="Arial" w:hAnsi="Arial" w:cs="Arial"/>
          <w:b/>
        </w:rPr>
        <w:t xml:space="preserve">Surovinová politika ČR v oblasti nerostných surovin a jejich zdrojů </w:t>
      </w:r>
      <w:r w:rsidRPr="00552998">
        <w:rPr>
          <w:rFonts w:ascii="Arial" w:hAnsi="Arial" w:cs="Arial"/>
        </w:rPr>
        <w:t xml:space="preserve">(schválena dne 14. června 2017). </w:t>
      </w:r>
    </w:p>
    <w:p w:rsidR="00552998" w:rsidRPr="00552998" w:rsidRDefault="00552998" w:rsidP="00552998">
      <w:pPr>
        <w:jc w:val="both"/>
        <w:rPr>
          <w:rFonts w:ascii="Arial" w:hAnsi="Arial" w:cs="Arial"/>
        </w:rPr>
      </w:pPr>
      <w:r w:rsidRPr="00552998">
        <w:rPr>
          <w:rFonts w:ascii="Arial" w:hAnsi="Arial" w:cs="Arial"/>
        </w:rPr>
        <w:t xml:space="preserve">Jejím přijetím byl završen proces aktualizace české státní surovinové politiky, probíhající průběžně od roku 2012, a jde také o důležitou reakci na schválení aktualizované Státní energetické koncepce.  Jakkoliv byla předchozí státní surovinová politika z roku 1999 na dobu svého vzniku moderní a progresivní, došlo od té doby k řadě změn. Tou nejpodstatnější je velká proměna surovinového průmyslu, a to především co do spektra </w:t>
      </w:r>
      <w:r w:rsidRPr="00552998">
        <w:rPr>
          <w:rFonts w:ascii="Arial" w:hAnsi="Arial" w:cs="Arial"/>
        </w:rPr>
        <w:lastRenderedPageBreak/>
        <w:t xml:space="preserve">surovin, o které má moderní průmysl zájem. Velký posun je zejména k moderním </w:t>
      </w:r>
      <w:proofErr w:type="spellStart"/>
      <w:r w:rsidRPr="00552998">
        <w:rPr>
          <w:rFonts w:ascii="Arial" w:hAnsi="Arial" w:cs="Arial"/>
        </w:rPr>
        <w:t>high</w:t>
      </w:r>
      <w:proofErr w:type="spellEnd"/>
      <w:r w:rsidRPr="00552998">
        <w:rPr>
          <w:rFonts w:ascii="Arial" w:hAnsi="Arial" w:cs="Arial"/>
        </w:rPr>
        <w:t>-</w:t>
      </w:r>
      <w:proofErr w:type="spellStart"/>
      <w:r w:rsidRPr="00552998">
        <w:rPr>
          <w:rFonts w:ascii="Arial" w:hAnsi="Arial" w:cs="Arial"/>
        </w:rPr>
        <w:t>tech</w:t>
      </w:r>
      <w:proofErr w:type="spellEnd"/>
      <w:r w:rsidRPr="00552998">
        <w:rPr>
          <w:rFonts w:ascii="Arial" w:hAnsi="Arial" w:cs="Arial"/>
        </w:rPr>
        <w:t xml:space="preserve"> surovinám, které jsou využívány v elektronice a dalších moderních odvětvích a o které před 20 lety nejevil nikdo zájem. Nová surovinová politika ČR tak pracuje i s využitím lithia, které se nachází na území ČR.</w:t>
      </w:r>
    </w:p>
    <w:p w:rsidR="00552998" w:rsidRPr="00552998" w:rsidRDefault="00552998" w:rsidP="00552998">
      <w:pPr>
        <w:jc w:val="both"/>
        <w:rPr>
          <w:rFonts w:ascii="Arial" w:hAnsi="Arial" w:cs="Arial"/>
        </w:rPr>
      </w:pPr>
      <w:r w:rsidRPr="00552998">
        <w:rPr>
          <w:rFonts w:ascii="Arial" w:hAnsi="Arial" w:cs="Arial"/>
        </w:rPr>
        <w:t xml:space="preserve">Mezi významné </w:t>
      </w:r>
      <w:r w:rsidRPr="00B616CA">
        <w:rPr>
          <w:rFonts w:ascii="Arial" w:hAnsi="Arial" w:cs="Arial"/>
          <w:b/>
        </w:rPr>
        <w:t>připravované dokumenty</w:t>
      </w:r>
      <w:r w:rsidRPr="00552998">
        <w:rPr>
          <w:rFonts w:ascii="Arial" w:hAnsi="Arial" w:cs="Arial"/>
        </w:rPr>
        <w:t xml:space="preserve"> patří </w:t>
      </w:r>
      <w:r w:rsidRPr="00B616CA">
        <w:rPr>
          <w:rFonts w:ascii="Arial" w:hAnsi="Arial" w:cs="Arial"/>
          <w:b/>
        </w:rPr>
        <w:t>integrovaný národní klimatický a energetický plán</w:t>
      </w:r>
      <w:r w:rsidRPr="00552998">
        <w:rPr>
          <w:rFonts w:ascii="Arial" w:hAnsi="Arial" w:cs="Arial"/>
        </w:rPr>
        <w:t xml:space="preserve">. Ten bude muset každý členský stát EU zpracovat dle nařízení o správě energetické unie, jehož znění je aktuálně projednáváno. Připravuje se také implementační plán Strategického </w:t>
      </w:r>
      <w:r w:rsidR="00B616CA">
        <w:rPr>
          <w:rFonts w:ascii="Arial" w:hAnsi="Arial" w:cs="Arial"/>
        </w:rPr>
        <w:t xml:space="preserve">rámce Česká republika 2030 (samotný rámec </w:t>
      </w:r>
      <w:r w:rsidRPr="00552998">
        <w:rPr>
          <w:rFonts w:ascii="Arial" w:hAnsi="Arial" w:cs="Arial"/>
        </w:rPr>
        <w:t>byl vládou schválen 16. dubna 2017)</w:t>
      </w:r>
      <w:r w:rsidR="00B616CA">
        <w:rPr>
          <w:rFonts w:ascii="Arial" w:hAnsi="Arial" w:cs="Arial"/>
        </w:rPr>
        <w:t>.</w:t>
      </w: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Default="00E70BCD" w:rsidP="00E70BCD">
      <w:pPr>
        <w:jc w:val="both"/>
        <w:rPr>
          <w:rFonts w:ascii="Arial" w:hAnsi="Arial" w:cs="Arial"/>
        </w:rPr>
      </w:pPr>
    </w:p>
    <w:p w:rsidR="00E70BCD" w:rsidRPr="00E70BCD" w:rsidRDefault="00E70BCD" w:rsidP="00E70BCD">
      <w:pPr>
        <w:jc w:val="both"/>
        <w:rPr>
          <w:rFonts w:ascii="Arial" w:hAnsi="Arial" w:cs="Arial"/>
        </w:rPr>
      </w:pPr>
    </w:p>
    <w:p w:rsidR="00E70BCD" w:rsidRPr="00E70BCD" w:rsidRDefault="00E70BCD" w:rsidP="00E70BCD">
      <w:pPr>
        <w:pBdr>
          <w:top w:val="single" w:sz="4" w:space="1" w:color="auto"/>
          <w:left w:val="single" w:sz="4" w:space="4" w:color="auto"/>
          <w:bottom w:val="single" w:sz="4" w:space="1" w:color="auto"/>
          <w:right w:val="single" w:sz="4" w:space="4" w:color="auto"/>
        </w:pBdr>
        <w:jc w:val="center"/>
        <w:rPr>
          <w:rFonts w:ascii="Arial" w:hAnsi="Arial" w:cs="Arial"/>
          <w:b/>
        </w:rPr>
      </w:pPr>
      <w:r w:rsidRPr="00E70BCD">
        <w:rPr>
          <w:rFonts w:ascii="Arial" w:hAnsi="Arial" w:cs="Arial"/>
          <w:b/>
        </w:rPr>
        <w:lastRenderedPageBreak/>
        <w:t>CÍL: Digitalizace</w:t>
      </w:r>
      <w:r>
        <w:rPr>
          <w:rFonts w:ascii="Arial" w:hAnsi="Arial" w:cs="Arial"/>
          <w:b/>
        </w:rPr>
        <w:t xml:space="preserve"> (DGT)</w:t>
      </w:r>
    </w:p>
    <w:p w:rsidR="00E70BCD" w:rsidRPr="00E70BCD" w:rsidRDefault="00E70BCD" w:rsidP="00E70BCD">
      <w:pPr>
        <w:pBdr>
          <w:top w:val="single" w:sz="4" w:space="1" w:color="auto"/>
          <w:left w:val="single" w:sz="4" w:space="4" w:color="auto"/>
          <w:bottom w:val="single" w:sz="4" w:space="1" w:color="auto"/>
          <w:right w:val="single" w:sz="4" w:space="4" w:color="auto"/>
        </w:pBdr>
        <w:jc w:val="center"/>
        <w:rPr>
          <w:rFonts w:ascii="Arial" w:hAnsi="Arial" w:cs="Arial"/>
          <w:i/>
        </w:rPr>
      </w:pPr>
      <w:r w:rsidRPr="00E70BCD">
        <w:rPr>
          <w:rFonts w:ascii="Arial" w:hAnsi="Arial" w:cs="Arial"/>
          <w:i/>
        </w:rPr>
        <w:t>Indikátor: existence a realizace strategických dokumentů a prováděcích akčních plánů (ÚV, MPSV, MŠMT)</w:t>
      </w:r>
    </w:p>
    <w:p w:rsidR="00E70BCD" w:rsidRPr="00E70BCD" w:rsidRDefault="00E70BCD" w:rsidP="00E70BCD">
      <w:pPr>
        <w:jc w:val="both"/>
        <w:rPr>
          <w:rFonts w:ascii="Arial" w:hAnsi="Arial" w:cs="Arial"/>
        </w:rPr>
      </w:pPr>
      <w:r w:rsidRPr="00E70BCD">
        <w:rPr>
          <w:rFonts w:ascii="Arial" w:hAnsi="Arial" w:cs="Arial"/>
        </w:rPr>
        <w:t xml:space="preserve">Aktualizovaný </w:t>
      </w:r>
      <w:r w:rsidRPr="00E70BCD">
        <w:rPr>
          <w:rFonts w:ascii="Arial" w:hAnsi="Arial" w:cs="Arial"/>
          <w:b/>
        </w:rPr>
        <w:t xml:space="preserve">Akční plán pro rozvoj digitálního trhu </w:t>
      </w:r>
      <w:r w:rsidRPr="00E70BCD">
        <w:rPr>
          <w:rFonts w:ascii="Arial" w:hAnsi="Arial" w:cs="Arial"/>
        </w:rPr>
        <w:t xml:space="preserve">a 3. Zpráva o implementaci Akčního plánu pro rozvoj digitálního trhu byly schváleny vládou dne 8. 3. 2017. </w:t>
      </w:r>
    </w:p>
    <w:p w:rsidR="00E70BCD" w:rsidRPr="00E70BCD" w:rsidRDefault="00E70BCD" w:rsidP="00E70BCD">
      <w:pPr>
        <w:jc w:val="both"/>
        <w:rPr>
          <w:rFonts w:ascii="Arial" w:hAnsi="Arial" w:cs="Arial"/>
        </w:rPr>
      </w:pPr>
      <w:r w:rsidRPr="00E70BCD">
        <w:rPr>
          <w:rFonts w:ascii="Arial" w:hAnsi="Arial" w:cs="Arial"/>
        </w:rPr>
        <w:t xml:space="preserve">V květnu 2017 byla představena první verze </w:t>
      </w:r>
      <w:r w:rsidRPr="00E70BCD">
        <w:rPr>
          <w:rFonts w:ascii="Arial" w:hAnsi="Arial" w:cs="Arial"/>
          <w:b/>
        </w:rPr>
        <w:t>Akčního plánu pro Společnost 4.0</w:t>
      </w:r>
      <w:r w:rsidRPr="00E70BCD">
        <w:rPr>
          <w:rFonts w:ascii="Arial" w:hAnsi="Arial" w:cs="Arial"/>
        </w:rPr>
        <w:t>, finální materiál bude vládě předložen v průběhu září 2017.</w:t>
      </w:r>
    </w:p>
    <w:p w:rsidR="00E70BCD" w:rsidRPr="00E70BCD" w:rsidRDefault="00E70BCD" w:rsidP="00E70BCD">
      <w:pPr>
        <w:jc w:val="both"/>
        <w:rPr>
          <w:rFonts w:ascii="Arial" w:hAnsi="Arial" w:cs="Arial"/>
        </w:rPr>
      </w:pPr>
      <w:r w:rsidRPr="00E70BCD">
        <w:rPr>
          <w:rFonts w:ascii="Arial" w:hAnsi="Arial" w:cs="Arial"/>
        </w:rPr>
        <w:t xml:space="preserve">V návaznosti na studii Iniciativa Práce 4.0 MPSV, v úzké spolupráci s hospodářskými a sociálními partnery, zpracovalo </w:t>
      </w:r>
      <w:r w:rsidRPr="00E70BCD">
        <w:rPr>
          <w:rFonts w:ascii="Arial" w:hAnsi="Arial" w:cs="Arial"/>
          <w:b/>
        </w:rPr>
        <w:t>Akční plán Práce 4.0</w:t>
      </w:r>
      <w:r w:rsidRPr="00E70BCD">
        <w:rPr>
          <w:rFonts w:ascii="Arial" w:hAnsi="Arial" w:cs="Arial"/>
        </w:rPr>
        <w:t xml:space="preserve">. Akční plán Práce 4.0 navrhuje v širokém pojetí konkrétní opatření, spojená s očekávanými dopady digitalizace na oblast zaměstnanosti, trhu práce a na vybrané, s těmito oblastmi spojené, sociální aspekty. Značná pozornost je věnována také otázkám dalšího vzdělávání. </w:t>
      </w:r>
    </w:p>
    <w:p w:rsidR="00E70BCD" w:rsidRPr="00E70BCD" w:rsidRDefault="00E70BCD" w:rsidP="00E70BCD">
      <w:pPr>
        <w:jc w:val="both"/>
        <w:rPr>
          <w:rFonts w:ascii="Arial" w:hAnsi="Arial" w:cs="Arial"/>
        </w:rPr>
      </w:pPr>
      <w:r w:rsidRPr="00E70BCD">
        <w:rPr>
          <w:rFonts w:ascii="Arial" w:hAnsi="Arial" w:cs="Arial"/>
        </w:rPr>
        <w:t xml:space="preserve">Materiál navazuje na Iniciativu Průmysl 4.0. Akční plán je rozčleněn na 4 strategické cíle: </w:t>
      </w:r>
    </w:p>
    <w:p w:rsidR="00E70BCD" w:rsidRPr="00E70BCD" w:rsidRDefault="00E70BCD" w:rsidP="00E70BCD">
      <w:pPr>
        <w:pStyle w:val="Odstavecseseznamem"/>
        <w:numPr>
          <w:ilvl w:val="0"/>
          <w:numId w:val="13"/>
        </w:numPr>
        <w:jc w:val="both"/>
        <w:rPr>
          <w:rFonts w:ascii="Arial" w:hAnsi="Arial" w:cs="Arial"/>
        </w:rPr>
      </w:pPr>
      <w:r w:rsidRPr="00E70BCD">
        <w:rPr>
          <w:rFonts w:ascii="Arial" w:hAnsi="Arial" w:cs="Arial"/>
        </w:rPr>
        <w:t xml:space="preserve">strategický cíl: Regulace dopadů technologických změn na poptávku po pracovní síle  </w:t>
      </w:r>
    </w:p>
    <w:p w:rsidR="00E70BCD" w:rsidRPr="00E70BCD" w:rsidRDefault="00E70BCD" w:rsidP="00E70BCD">
      <w:pPr>
        <w:pStyle w:val="Odstavecseseznamem"/>
        <w:numPr>
          <w:ilvl w:val="0"/>
          <w:numId w:val="13"/>
        </w:numPr>
        <w:jc w:val="both"/>
        <w:rPr>
          <w:rFonts w:ascii="Arial" w:hAnsi="Arial" w:cs="Arial"/>
        </w:rPr>
      </w:pPr>
      <w:r w:rsidRPr="00E70BCD">
        <w:rPr>
          <w:rFonts w:ascii="Arial" w:hAnsi="Arial" w:cs="Arial"/>
        </w:rPr>
        <w:t>strategický cíl: Podpora dalšího vzdělávání</w:t>
      </w:r>
    </w:p>
    <w:p w:rsidR="00E70BCD" w:rsidRPr="00E70BCD" w:rsidRDefault="00E70BCD" w:rsidP="00E70BCD">
      <w:pPr>
        <w:pStyle w:val="Odstavecseseznamem"/>
        <w:numPr>
          <w:ilvl w:val="0"/>
          <w:numId w:val="13"/>
        </w:numPr>
        <w:jc w:val="both"/>
        <w:rPr>
          <w:rFonts w:ascii="Arial" w:hAnsi="Arial" w:cs="Arial"/>
        </w:rPr>
      </w:pPr>
      <w:r w:rsidRPr="00E70BCD">
        <w:rPr>
          <w:rFonts w:ascii="Arial" w:hAnsi="Arial" w:cs="Arial"/>
        </w:rPr>
        <w:t xml:space="preserve">strategický cíl: Nastavení podmínek na trhu práce v souvislosti s technologickými změnami </w:t>
      </w:r>
    </w:p>
    <w:p w:rsidR="00E70BCD" w:rsidRPr="00E70BCD" w:rsidRDefault="00E70BCD" w:rsidP="00E70BCD">
      <w:pPr>
        <w:pStyle w:val="Odstavecseseznamem"/>
        <w:numPr>
          <w:ilvl w:val="0"/>
          <w:numId w:val="13"/>
        </w:numPr>
        <w:jc w:val="both"/>
        <w:rPr>
          <w:rFonts w:ascii="Arial" w:hAnsi="Arial" w:cs="Arial"/>
        </w:rPr>
      </w:pPr>
      <w:r w:rsidRPr="00E70BCD">
        <w:rPr>
          <w:rFonts w:ascii="Arial" w:hAnsi="Arial" w:cs="Arial"/>
        </w:rPr>
        <w:t>strategický cíl: Regulace dopadů technologických změn na vybrané sociální aspekty</w:t>
      </w:r>
    </w:p>
    <w:p w:rsidR="00E70BCD" w:rsidRPr="00E70BCD" w:rsidRDefault="00E70BCD" w:rsidP="00E70BCD">
      <w:pPr>
        <w:jc w:val="both"/>
        <w:rPr>
          <w:rFonts w:ascii="Arial" w:hAnsi="Arial" w:cs="Arial"/>
        </w:rPr>
      </w:pPr>
      <w:r w:rsidRPr="00E70BCD">
        <w:rPr>
          <w:rFonts w:ascii="Arial" w:hAnsi="Arial" w:cs="Arial"/>
        </w:rPr>
        <w:t>Akční plán Práce 4.0 byl v dubnu 2017 projednán na jednání plenární schůze Rady hospodářské a sociální dohody.</w:t>
      </w:r>
    </w:p>
    <w:p w:rsidR="00E70BCD" w:rsidRPr="00E70BCD" w:rsidRDefault="00E70BCD" w:rsidP="00E70BCD">
      <w:pPr>
        <w:jc w:val="both"/>
        <w:rPr>
          <w:rFonts w:ascii="Arial" w:hAnsi="Arial" w:cs="Arial"/>
        </w:rPr>
      </w:pPr>
      <w:r w:rsidRPr="00E70BCD">
        <w:rPr>
          <w:rFonts w:ascii="Arial" w:hAnsi="Arial" w:cs="Arial"/>
        </w:rPr>
        <w:t xml:space="preserve">Na základě dohody s Úřadem vlády ČR byla opatření uvedená v Akčním plánu Práce 4.0 následně v květnu 2017 zaslána Úřadu vlády a následně </w:t>
      </w:r>
      <w:r w:rsidRPr="00E70BCD">
        <w:rPr>
          <w:rFonts w:ascii="Arial" w:hAnsi="Arial" w:cs="Arial"/>
          <w:b/>
        </w:rPr>
        <w:t>začleněna do Akčního plánu Společnost 4.0</w:t>
      </w:r>
      <w:r w:rsidRPr="00E70BCD">
        <w:rPr>
          <w:rFonts w:ascii="Arial" w:hAnsi="Arial" w:cs="Arial"/>
        </w:rPr>
        <w:t>, který byl zpracován v rámci Aliance Společnost 4.0.</w:t>
      </w:r>
    </w:p>
    <w:p w:rsidR="00E70BCD" w:rsidRDefault="00E70BCD" w:rsidP="00E70BCD">
      <w:pPr>
        <w:jc w:val="both"/>
        <w:rPr>
          <w:rFonts w:ascii="Arial" w:hAnsi="Arial" w:cs="Arial"/>
        </w:rPr>
      </w:pPr>
      <w:r w:rsidRPr="00E70BCD">
        <w:rPr>
          <w:rFonts w:ascii="Arial" w:hAnsi="Arial" w:cs="Arial"/>
        </w:rPr>
        <w:t xml:space="preserve">Co se týče přípravy změn ve vzdělávacím systému, MŠMT ve spolupráci s MPSV připravilo zároveň návrhy </w:t>
      </w:r>
      <w:r w:rsidRPr="00E70BCD">
        <w:rPr>
          <w:rFonts w:ascii="Arial" w:hAnsi="Arial" w:cs="Arial"/>
          <w:b/>
        </w:rPr>
        <w:t>konkrétních opatření v oblasti Vzdělávání 4.0, která budou součástí Akčního plánu iniciativy Společnost 4.0</w:t>
      </w:r>
      <w:r w:rsidRPr="00E70BCD">
        <w:rPr>
          <w:rFonts w:ascii="Arial" w:hAnsi="Arial" w:cs="Arial"/>
        </w:rPr>
        <w:t xml:space="preserve">. Analýzy v oblasti dopadů Průmyslu 4.0 na vzdělávání a vzdělávací soustavu budou vypracovány v návaznosti na průběžné hodnocení plnění Strategie vzdělávací politiky do roku 2020 a na schválení Akčního plánu Společnost 4.0. </w:t>
      </w:r>
    </w:p>
    <w:p w:rsidR="00E70BCD" w:rsidRDefault="00E70BCD" w:rsidP="00E70BCD">
      <w:pPr>
        <w:jc w:val="both"/>
        <w:rPr>
          <w:rFonts w:ascii="Arial" w:hAnsi="Arial" w:cs="Arial"/>
        </w:rPr>
      </w:pPr>
      <w:r w:rsidRPr="00E70BCD">
        <w:rPr>
          <w:rFonts w:ascii="Arial" w:hAnsi="Arial" w:cs="Arial"/>
        </w:rPr>
        <w:t xml:space="preserve">Pokračuje také příprava </w:t>
      </w:r>
      <w:r w:rsidRPr="00E70BCD">
        <w:rPr>
          <w:rFonts w:ascii="Arial" w:hAnsi="Arial" w:cs="Arial"/>
          <w:b/>
        </w:rPr>
        <w:t>zásad pro tvorbu digitální legislativy</w:t>
      </w:r>
      <w:r w:rsidRPr="00E70BCD">
        <w:rPr>
          <w:rFonts w:ascii="Arial" w:hAnsi="Arial" w:cs="Arial"/>
        </w:rPr>
        <w:t xml:space="preserve">. Byla zpracována </w:t>
      </w:r>
      <w:r w:rsidRPr="00E70BCD">
        <w:rPr>
          <w:rFonts w:ascii="Arial" w:hAnsi="Arial" w:cs="Arial"/>
          <w:b/>
        </w:rPr>
        <w:t>analýza potenciálu sdílené ekonomiky</w:t>
      </w:r>
      <w:r w:rsidRPr="00E70BCD">
        <w:rPr>
          <w:rFonts w:ascii="Arial" w:hAnsi="Arial" w:cs="Arial"/>
        </w:rPr>
        <w:t xml:space="preserve">, kterou projednala jak tripartita, tak vláda. Vyplývá z ní mimo jiné, že by rezorty měly v následujících měsících vyhodnotit, zda je současná legislativa aplikovatelná na digitální platformy a ověřit, zda dochází k jejímu vymáhání. V České republice působí především platformy Uber a </w:t>
      </w:r>
      <w:proofErr w:type="spellStart"/>
      <w:r w:rsidRPr="00E70BCD">
        <w:rPr>
          <w:rFonts w:ascii="Arial" w:hAnsi="Arial" w:cs="Arial"/>
        </w:rPr>
        <w:t>Airbnb</w:t>
      </w:r>
      <w:proofErr w:type="spellEnd"/>
      <w:r w:rsidRPr="00E70BCD">
        <w:rPr>
          <w:rFonts w:ascii="Arial" w:hAnsi="Arial" w:cs="Arial"/>
        </w:rPr>
        <w:t>.</w:t>
      </w:r>
    </w:p>
    <w:p w:rsidR="00E70BCD" w:rsidRDefault="00E70BCD" w:rsidP="00E70BCD">
      <w:pPr>
        <w:jc w:val="both"/>
        <w:rPr>
          <w:rFonts w:ascii="Arial" w:hAnsi="Arial" w:cs="Arial"/>
        </w:rPr>
      </w:pPr>
      <w:r>
        <w:rPr>
          <w:rFonts w:ascii="Arial" w:hAnsi="Arial" w:cs="Arial"/>
        </w:rPr>
        <w:t>Splněná opatření</w:t>
      </w:r>
      <w:r w:rsidR="00E96D8C">
        <w:rPr>
          <w:rFonts w:ascii="Arial" w:hAnsi="Arial" w:cs="Arial"/>
        </w:rPr>
        <w:t>:</w:t>
      </w:r>
    </w:p>
    <w:tbl>
      <w:tblPr>
        <w:tblStyle w:val="Mkatabulky"/>
        <w:tblW w:w="0" w:type="auto"/>
        <w:tblLook w:val="04A0"/>
      </w:tblPr>
      <w:tblGrid>
        <w:gridCol w:w="817"/>
        <w:gridCol w:w="567"/>
        <w:gridCol w:w="3686"/>
        <w:gridCol w:w="992"/>
        <w:gridCol w:w="3150"/>
      </w:tblGrid>
      <w:tr w:rsidR="00E70BCD" w:rsidTr="00E70BCD">
        <w:tc>
          <w:tcPr>
            <w:tcW w:w="817" w:type="dxa"/>
          </w:tcPr>
          <w:p w:rsidR="00E70BCD" w:rsidRDefault="00E70BCD" w:rsidP="00E70BCD">
            <w:pPr>
              <w:jc w:val="both"/>
              <w:rPr>
                <w:rFonts w:ascii="Arial" w:hAnsi="Arial" w:cs="Arial"/>
              </w:rPr>
            </w:pPr>
            <w:r w:rsidRPr="00E70BCD">
              <w:rPr>
                <w:rFonts w:ascii="Arial" w:hAnsi="Arial" w:cs="Arial"/>
              </w:rPr>
              <w:t>DGT5</w:t>
            </w:r>
            <w:r w:rsidRPr="00E70BCD">
              <w:rPr>
                <w:rFonts w:ascii="Arial" w:hAnsi="Arial" w:cs="Arial"/>
              </w:rPr>
              <w:tab/>
            </w:r>
          </w:p>
        </w:tc>
        <w:tc>
          <w:tcPr>
            <w:tcW w:w="567" w:type="dxa"/>
          </w:tcPr>
          <w:p w:rsidR="00E70BCD" w:rsidRDefault="00E70BCD" w:rsidP="00E70BCD">
            <w:pPr>
              <w:jc w:val="both"/>
              <w:rPr>
                <w:rFonts w:ascii="Arial" w:hAnsi="Arial" w:cs="Arial"/>
              </w:rPr>
            </w:pPr>
            <w:r w:rsidRPr="00E70BCD">
              <w:rPr>
                <w:rFonts w:ascii="Arial" w:hAnsi="Arial" w:cs="Arial"/>
              </w:rPr>
              <w:t>ÚV</w:t>
            </w:r>
          </w:p>
        </w:tc>
        <w:tc>
          <w:tcPr>
            <w:tcW w:w="3686" w:type="dxa"/>
          </w:tcPr>
          <w:p w:rsidR="00E70BCD" w:rsidRDefault="00E70BCD" w:rsidP="00E70BCD">
            <w:pPr>
              <w:jc w:val="both"/>
              <w:rPr>
                <w:rFonts w:ascii="Arial" w:hAnsi="Arial" w:cs="Arial"/>
              </w:rPr>
            </w:pPr>
            <w:r w:rsidRPr="00E70BCD">
              <w:rPr>
                <w:rFonts w:ascii="Arial" w:hAnsi="Arial" w:cs="Arial"/>
              </w:rPr>
              <w:t>Vypracování ekonomické analýzy potenciálu sdílené ekonomiky</w:t>
            </w:r>
          </w:p>
        </w:tc>
        <w:tc>
          <w:tcPr>
            <w:tcW w:w="992" w:type="dxa"/>
          </w:tcPr>
          <w:p w:rsidR="00E70BCD" w:rsidRDefault="00E70BCD" w:rsidP="00E70BCD">
            <w:pPr>
              <w:jc w:val="both"/>
              <w:rPr>
                <w:rFonts w:ascii="Arial" w:hAnsi="Arial" w:cs="Arial"/>
              </w:rPr>
            </w:pPr>
            <w:r w:rsidRPr="00E70BCD">
              <w:rPr>
                <w:rFonts w:ascii="Arial" w:hAnsi="Arial" w:cs="Arial"/>
              </w:rPr>
              <w:t>VI/2017</w:t>
            </w:r>
          </w:p>
        </w:tc>
        <w:tc>
          <w:tcPr>
            <w:tcW w:w="3150" w:type="dxa"/>
          </w:tcPr>
          <w:p w:rsidR="00E70BCD" w:rsidRDefault="00E70BCD" w:rsidP="00E70BCD">
            <w:pPr>
              <w:jc w:val="both"/>
              <w:rPr>
                <w:rFonts w:ascii="Arial" w:hAnsi="Arial" w:cs="Arial"/>
              </w:rPr>
            </w:pPr>
            <w:r>
              <w:rPr>
                <w:rFonts w:ascii="Arial" w:hAnsi="Arial" w:cs="Arial"/>
              </w:rPr>
              <w:t>S</w:t>
            </w:r>
            <w:r w:rsidRPr="00E70BCD">
              <w:rPr>
                <w:rFonts w:ascii="Arial" w:hAnsi="Arial" w:cs="Arial"/>
              </w:rPr>
              <w:t>plněno (projednáno tripartitou dne 17. 7. 2017, vládou dne 4. 9. 2017)</w:t>
            </w:r>
          </w:p>
        </w:tc>
      </w:tr>
    </w:tbl>
    <w:p w:rsidR="00C8408C" w:rsidRPr="00C8408C" w:rsidRDefault="00C8408C" w:rsidP="00C8408C">
      <w:pPr>
        <w:pBdr>
          <w:top w:val="single" w:sz="4" w:space="1" w:color="auto"/>
          <w:left w:val="single" w:sz="4" w:space="4" w:color="auto"/>
          <w:bottom w:val="single" w:sz="4" w:space="1" w:color="auto"/>
          <w:right w:val="single" w:sz="4" w:space="4" w:color="auto"/>
        </w:pBdr>
        <w:jc w:val="center"/>
        <w:rPr>
          <w:rFonts w:ascii="Arial" w:hAnsi="Arial" w:cs="Arial"/>
          <w:b/>
        </w:rPr>
      </w:pPr>
      <w:r w:rsidRPr="00C8408C">
        <w:rPr>
          <w:rFonts w:ascii="Arial" w:hAnsi="Arial" w:cs="Arial"/>
          <w:b/>
        </w:rPr>
        <w:lastRenderedPageBreak/>
        <w:t>CÍL: Nové nástroje pro hospodářský rozvoj</w:t>
      </w:r>
      <w:r>
        <w:rPr>
          <w:rFonts w:ascii="Arial" w:hAnsi="Arial" w:cs="Arial"/>
          <w:b/>
        </w:rPr>
        <w:t xml:space="preserve"> (EGT)</w:t>
      </w:r>
    </w:p>
    <w:p w:rsidR="00C8408C" w:rsidRPr="00C8408C" w:rsidRDefault="00C8408C" w:rsidP="00C8408C">
      <w:pPr>
        <w:pBdr>
          <w:top w:val="single" w:sz="4" w:space="1" w:color="auto"/>
          <w:left w:val="single" w:sz="4" w:space="4" w:color="auto"/>
          <w:bottom w:val="single" w:sz="4" w:space="1" w:color="auto"/>
          <w:right w:val="single" w:sz="4" w:space="4" w:color="auto"/>
        </w:pBdr>
        <w:jc w:val="center"/>
        <w:rPr>
          <w:rFonts w:ascii="Arial" w:hAnsi="Arial" w:cs="Arial"/>
          <w:i/>
        </w:rPr>
      </w:pPr>
      <w:r w:rsidRPr="00C8408C">
        <w:rPr>
          <w:rFonts w:ascii="Arial" w:hAnsi="Arial" w:cs="Arial"/>
          <w:i/>
        </w:rPr>
        <w:t>Indikátor: vyhodnocení udržitelnosti a rozvojových potřeb agend, které jsou zajišťovány s využitím evropských prostředků, navržení konceptu rozvojové banky a jejích nástrojů (MPO, MF, MMR)</w:t>
      </w:r>
    </w:p>
    <w:p w:rsidR="00C8408C" w:rsidRPr="00C8408C" w:rsidRDefault="00C8408C" w:rsidP="00C8408C">
      <w:pPr>
        <w:jc w:val="both"/>
        <w:rPr>
          <w:rFonts w:ascii="Arial" w:hAnsi="Arial" w:cs="Arial"/>
        </w:rPr>
      </w:pPr>
      <w:r w:rsidRPr="00C8408C">
        <w:rPr>
          <w:rFonts w:ascii="Arial" w:hAnsi="Arial" w:cs="Arial"/>
        </w:rPr>
        <w:t>MF ve spolupráci s MPO a MMR připravilo materiál „</w:t>
      </w:r>
      <w:r w:rsidRPr="00C8408C">
        <w:rPr>
          <w:rFonts w:ascii="Arial" w:hAnsi="Arial" w:cs="Arial"/>
          <w:b/>
        </w:rPr>
        <w:t>Centralizovaná varianta správy finančních nástrojů</w:t>
      </w:r>
      <w:r w:rsidRPr="00C8408C">
        <w:rPr>
          <w:rFonts w:ascii="Arial" w:hAnsi="Arial" w:cs="Arial"/>
        </w:rPr>
        <w:t xml:space="preserve">“, který byl přijat na jednání vlády dne 9. ledna 2017. Uvedený materiál podrobněji rozvedl výhody centralizované správy finančních nástrojů (v návaznosti na prvotní materiál „Finanční nástroje jako forma zajištění financování projektů v programovém období 2014 – 2020“, který byl schválen vládou v únoru 2015 a který jako nejvhodnější variantu správy finančních nástrojů vybral správu lokální, centralizovanou a ve formě in house). </w:t>
      </w:r>
    </w:p>
    <w:p w:rsidR="00C8408C" w:rsidRPr="00C8408C" w:rsidRDefault="00C8408C" w:rsidP="00C8408C">
      <w:pPr>
        <w:jc w:val="both"/>
        <w:rPr>
          <w:rFonts w:ascii="Arial" w:hAnsi="Arial" w:cs="Arial"/>
        </w:rPr>
      </w:pPr>
      <w:r w:rsidRPr="00C8408C">
        <w:rPr>
          <w:rFonts w:ascii="Arial" w:hAnsi="Arial" w:cs="Arial"/>
        </w:rPr>
        <w:t xml:space="preserve">Materiál dále analyzoval variantu centralizované správy finančních nástrojů prostřednictvím akciové společnosti s proměnným základním kapitálem (tzv. SICAV) jako fondu fondů. Jako variantní řešení centralizované správy materiál uvádí využití stávající struktury </w:t>
      </w:r>
      <w:r w:rsidRPr="00E96D8C">
        <w:rPr>
          <w:rFonts w:ascii="Arial" w:hAnsi="Arial" w:cs="Arial"/>
          <w:b/>
        </w:rPr>
        <w:t>Českomoravské záruční a rozvojové banky, a. s. v souvislosti s její aktivizací na národní rozvojovou banku</w:t>
      </w:r>
      <w:r w:rsidRPr="00C8408C">
        <w:rPr>
          <w:rFonts w:ascii="Arial" w:hAnsi="Arial" w:cs="Arial"/>
        </w:rPr>
        <w:t>. Usnesením vlády proto bylo uloženo zpracovat navazující komparativní studii, která by měla obě zvažované varianty podrobně analyzovat a zhodnotit jejich právní, ekonomické a technické podmínky. Termín předložení studie je do 31. března 2018, následně by do 31. prosince 2020 mělo dojít k pilotnímu ověření zvoleného modelu centrální správy finančních nástrojů tak, aby byla tato centralizovaná struktura plně funkční pro nové programové období po roce 2020.</w:t>
      </w:r>
    </w:p>
    <w:p w:rsidR="00C8408C" w:rsidRPr="00C8408C" w:rsidRDefault="00C8408C" w:rsidP="00C8408C">
      <w:pPr>
        <w:jc w:val="both"/>
        <w:rPr>
          <w:rFonts w:ascii="Arial" w:hAnsi="Arial" w:cs="Arial"/>
        </w:rPr>
      </w:pPr>
      <w:r w:rsidRPr="00C8408C">
        <w:rPr>
          <w:rFonts w:ascii="Arial" w:hAnsi="Arial" w:cs="Arial"/>
        </w:rPr>
        <w:t>MPO jako gestor ve spolupráci s MMR připravilo dále materiál „</w:t>
      </w:r>
      <w:r w:rsidRPr="00E96D8C">
        <w:rPr>
          <w:rFonts w:ascii="Arial" w:hAnsi="Arial" w:cs="Arial"/>
          <w:b/>
        </w:rPr>
        <w:t>Projekt transformace Českomoravské záruční a rozvojové banky, a.s. (ČMZRB) na národní rozvojovou banku</w:t>
      </w:r>
      <w:r w:rsidRPr="00C8408C">
        <w:rPr>
          <w:rFonts w:ascii="Arial" w:hAnsi="Arial" w:cs="Arial"/>
        </w:rPr>
        <w:t xml:space="preserve">“, který vláda dne 21. </w:t>
      </w:r>
      <w:r w:rsidR="00E96D8C">
        <w:rPr>
          <w:rFonts w:ascii="Arial" w:hAnsi="Arial" w:cs="Arial"/>
        </w:rPr>
        <w:t>srpna</w:t>
      </w:r>
      <w:r w:rsidRPr="00C8408C">
        <w:rPr>
          <w:rFonts w:ascii="Arial" w:hAnsi="Arial" w:cs="Arial"/>
        </w:rPr>
        <w:t xml:space="preserve"> 2017 projednala a schválila. Nyní bude probíhat realizace vč. </w:t>
      </w:r>
      <w:r w:rsidRPr="00E96D8C">
        <w:rPr>
          <w:rFonts w:ascii="Arial" w:hAnsi="Arial" w:cs="Arial"/>
          <w:b/>
        </w:rPr>
        <w:t>přípravy návrhu věcného záměru zákona o národní rozvojové bance.</w:t>
      </w:r>
    </w:p>
    <w:p w:rsidR="00C8408C" w:rsidRPr="00C8408C" w:rsidRDefault="00C8408C" w:rsidP="00C8408C">
      <w:pPr>
        <w:jc w:val="both"/>
        <w:rPr>
          <w:rFonts w:ascii="Arial" w:hAnsi="Arial" w:cs="Arial"/>
        </w:rPr>
      </w:pPr>
      <w:r w:rsidRPr="00C8408C">
        <w:rPr>
          <w:rFonts w:ascii="Arial" w:hAnsi="Arial" w:cs="Arial"/>
        </w:rPr>
        <w:t xml:space="preserve">Co se týče </w:t>
      </w:r>
      <w:r w:rsidRPr="00E96D8C">
        <w:rPr>
          <w:rFonts w:ascii="Arial" w:hAnsi="Arial" w:cs="Arial"/>
          <w:b/>
        </w:rPr>
        <w:t>analýzy investičních potřeb průmyslu</w:t>
      </w:r>
      <w:r w:rsidRPr="00C8408C">
        <w:rPr>
          <w:rFonts w:ascii="Arial" w:hAnsi="Arial" w:cs="Arial"/>
        </w:rPr>
        <w:t xml:space="preserve">, tato otázka je řešena v rámci připravované </w:t>
      </w:r>
      <w:r w:rsidRPr="00E96D8C">
        <w:rPr>
          <w:rFonts w:ascii="Arial" w:hAnsi="Arial" w:cs="Arial"/>
          <w:b/>
        </w:rPr>
        <w:t>Národní investiční strategie</w:t>
      </w:r>
      <w:r w:rsidRPr="00C8408C">
        <w:rPr>
          <w:rFonts w:ascii="Arial" w:hAnsi="Arial" w:cs="Arial"/>
        </w:rPr>
        <w:t>, která bude předložena vládě k projednání do konce října letošního roku v souladu s usnesením vlády č. 919 ze dne 17. 10. 2016. Na konečné podobě strategie bude nutné nalézt shodu mezi akcionáři ČMZRB.</w:t>
      </w:r>
    </w:p>
    <w:p w:rsidR="00C8408C" w:rsidRPr="00C8408C" w:rsidRDefault="00C8408C" w:rsidP="00C8408C">
      <w:pPr>
        <w:jc w:val="both"/>
        <w:rPr>
          <w:rFonts w:ascii="Arial" w:hAnsi="Arial" w:cs="Arial"/>
        </w:rPr>
      </w:pPr>
      <w:r w:rsidRPr="00C8408C">
        <w:rPr>
          <w:rFonts w:ascii="Arial" w:hAnsi="Arial" w:cs="Arial"/>
        </w:rPr>
        <w:t xml:space="preserve">MPO zároveň připravuje návrh na </w:t>
      </w:r>
      <w:r w:rsidRPr="00E96D8C">
        <w:rPr>
          <w:rFonts w:ascii="Arial" w:hAnsi="Arial" w:cs="Arial"/>
          <w:b/>
        </w:rPr>
        <w:t>kapitálové posílení ČMZRB o 2,5 mld. Kč</w:t>
      </w:r>
      <w:r w:rsidRPr="00C8408C">
        <w:rPr>
          <w:rFonts w:ascii="Arial" w:hAnsi="Arial" w:cs="Arial"/>
        </w:rPr>
        <w:t>, přičemž i tento proces bude konzultován s dalšími ministerstvy podílejících se na výkonu akcionářských práv státu v ČMZRB.</w:t>
      </w:r>
    </w:p>
    <w:p w:rsidR="00E96D8C" w:rsidRDefault="00E96D8C" w:rsidP="00E96D8C">
      <w:pPr>
        <w:jc w:val="both"/>
        <w:rPr>
          <w:rFonts w:ascii="Arial" w:hAnsi="Arial" w:cs="Arial"/>
        </w:rPr>
      </w:pPr>
      <w:r>
        <w:rPr>
          <w:rFonts w:ascii="Arial" w:hAnsi="Arial" w:cs="Arial"/>
        </w:rPr>
        <w:t>Splněná opatření:</w:t>
      </w:r>
    </w:p>
    <w:tbl>
      <w:tblPr>
        <w:tblStyle w:val="Mkatabulky"/>
        <w:tblW w:w="0" w:type="auto"/>
        <w:tblLook w:val="04A0"/>
      </w:tblPr>
      <w:tblGrid>
        <w:gridCol w:w="817"/>
        <w:gridCol w:w="779"/>
        <w:gridCol w:w="3930"/>
        <w:gridCol w:w="975"/>
        <w:gridCol w:w="2711"/>
      </w:tblGrid>
      <w:tr w:rsidR="00E96D8C" w:rsidTr="00E96D8C">
        <w:tc>
          <w:tcPr>
            <w:tcW w:w="817" w:type="dxa"/>
          </w:tcPr>
          <w:p w:rsidR="00E96D8C" w:rsidRDefault="00E96D8C" w:rsidP="00C8408C">
            <w:pPr>
              <w:jc w:val="both"/>
              <w:rPr>
                <w:rFonts w:ascii="Arial" w:hAnsi="Arial" w:cs="Arial"/>
              </w:rPr>
            </w:pPr>
            <w:r w:rsidRPr="00E96D8C">
              <w:rPr>
                <w:rFonts w:ascii="Arial" w:hAnsi="Arial" w:cs="Arial"/>
              </w:rPr>
              <w:t>EGT1</w:t>
            </w:r>
          </w:p>
        </w:tc>
        <w:tc>
          <w:tcPr>
            <w:tcW w:w="779" w:type="dxa"/>
          </w:tcPr>
          <w:p w:rsidR="00E96D8C" w:rsidRDefault="00E96D8C" w:rsidP="00E96D8C">
            <w:pPr>
              <w:jc w:val="both"/>
              <w:rPr>
                <w:rFonts w:ascii="Arial" w:hAnsi="Arial" w:cs="Arial"/>
              </w:rPr>
            </w:pPr>
            <w:r>
              <w:rPr>
                <w:rFonts w:ascii="Arial" w:hAnsi="Arial" w:cs="Arial"/>
              </w:rPr>
              <w:t xml:space="preserve">MPO, </w:t>
            </w:r>
            <w:r w:rsidRPr="00E96D8C">
              <w:rPr>
                <w:rFonts w:ascii="Arial" w:hAnsi="Arial" w:cs="Arial"/>
              </w:rPr>
              <w:t>MMR</w:t>
            </w:r>
          </w:p>
        </w:tc>
        <w:tc>
          <w:tcPr>
            <w:tcW w:w="3930" w:type="dxa"/>
          </w:tcPr>
          <w:p w:rsidR="00E96D8C" w:rsidRDefault="00E96D8C" w:rsidP="00C8408C">
            <w:pPr>
              <w:jc w:val="both"/>
              <w:rPr>
                <w:rFonts w:ascii="Arial" w:hAnsi="Arial" w:cs="Arial"/>
              </w:rPr>
            </w:pPr>
            <w:r w:rsidRPr="00E96D8C">
              <w:rPr>
                <w:rFonts w:ascii="Arial" w:hAnsi="Arial" w:cs="Arial"/>
              </w:rPr>
              <w:t>Návrh transformace ČMZRB do národní rozvojové banky</w:t>
            </w:r>
          </w:p>
        </w:tc>
        <w:tc>
          <w:tcPr>
            <w:tcW w:w="975" w:type="dxa"/>
          </w:tcPr>
          <w:p w:rsidR="00E96D8C" w:rsidRDefault="00E96D8C" w:rsidP="00C8408C">
            <w:pPr>
              <w:jc w:val="both"/>
              <w:rPr>
                <w:rFonts w:ascii="Arial" w:hAnsi="Arial" w:cs="Arial"/>
              </w:rPr>
            </w:pPr>
            <w:r w:rsidRPr="00E96D8C">
              <w:rPr>
                <w:rFonts w:ascii="Arial" w:hAnsi="Arial" w:cs="Arial"/>
              </w:rPr>
              <w:t>VI/2017</w:t>
            </w:r>
          </w:p>
        </w:tc>
        <w:tc>
          <w:tcPr>
            <w:tcW w:w="2711" w:type="dxa"/>
          </w:tcPr>
          <w:p w:rsidR="00E96D8C" w:rsidRPr="00E96D8C" w:rsidRDefault="00E96D8C" w:rsidP="00E96D8C">
            <w:pPr>
              <w:jc w:val="both"/>
              <w:rPr>
                <w:rFonts w:ascii="Arial" w:hAnsi="Arial" w:cs="Arial"/>
              </w:rPr>
            </w:pPr>
            <w:r w:rsidRPr="00E96D8C">
              <w:rPr>
                <w:rFonts w:ascii="Arial" w:hAnsi="Arial" w:cs="Arial"/>
              </w:rPr>
              <w:t>Splněno.</w:t>
            </w:r>
          </w:p>
          <w:p w:rsidR="00E96D8C" w:rsidRDefault="00E96D8C" w:rsidP="00C8408C">
            <w:pPr>
              <w:jc w:val="both"/>
              <w:rPr>
                <w:rFonts w:ascii="Arial" w:hAnsi="Arial" w:cs="Arial"/>
              </w:rPr>
            </w:pPr>
          </w:p>
        </w:tc>
      </w:tr>
    </w:tbl>
    <w:p w:rsidR="00C8408C" w:rsidRDefault="00C8408C" w:rsidP="00C8408C">
      <w:pPr>
        <w:jc w:val="both"/>
        <w:rPr>
          <w:rFonts w:ascii="Arial" w:hAnsi="Arial" w:cs="Arial"/>
        </w:rPr>
      </w:pPr>
    </w:p>
    <w:p w:rsidR="00E96D8C" w:rsidRPr="00E96D8C" w:rsidRDefault="00E96D8C" w:rsidP="00E96D8C">
      <w:pPr>
        <w:jc w:val="both"/>
        <w:rPr>
          <w:rFonts w:ascii="Arial" w:hAnsi="Arial" w:cs="Arial"/>
        </w:rPr>
      </w:pPr>
      <w:r w:rsidRPr="00E96D8C">
        <w:rPr>
          <w:rFonts w:ascii="Arial" w:hAnsi="Arial" w:cs="Arial"/>
        </w:rPr>
        <w:tab/>
      </w:r>
      <w:r w:rsidRPr="00E96D8C">
        <w:rPr>
          <w:rFonts w:ascii="Arial" w:hAnsi="Arial" w:cs="Arial"/>
        </w:rPr>
        <w:tab/>
      </w:r>
    </w:p>
    <w:p w:rsidR="00E96D8C" w:rsidRPr="00E96D8C" w:rsidRDefault="00E96D8C" w:rsidP="00E96D8C">
      <w:pPr>
        <w:jc w:val="both"/>
        <w:rPr>
          <w:rFonts w:ascii="Arial" w:hAnsi="Arial" w:cs="Arial"/>
        </w:rPr>
      </w:pPr>
      <w:r w:rsidRPr="00E96D8C">
        <w:rPr>
          <w:rFonts w:ascii="Arial" w:hAnsi="Arial" w:cs="Arial"/>
        </w:rPr>
        <w:tab/>
      </w:r>
      <w:r w:rsidRPr="00E96D8C">
        <w:rPr>
          <w:rFonts w:ascii="Arial" w:hAnsi="Arial" w:cs="Arial"/>
        </w:rPr>
        <w:tab/>
      </w:r>
    </w:p>
    <w:p w:rsidR="00E70BCD" w:rsidRPr="00E70BCD" w:rsidRDefault="00E70BCD" w:rsidP="00E70BCD">
      <w:pPr>
        <w:jc w:val="both"/>
        <w:rPr>
          <w:rFonts w:ascii="Arial" w:hAnsi="Arial" w:cs="Arial"/>
        </w:rPr>
      </w:pPr>
    </w:p>
    <w:p w:rsidR="00E70BCD" w:rsidRPr="00C830AE" w:rsidRDefault="00E70BCD" w:rsidP="00AF1547">
      <w:pPr>
        <w:jc w:val="both"/>
        <w:rPr>
          <w:rFonts w:ascii="Arial" w:hAnsi="Arial" w:cs="Arial"/>
        </w:rPr>
      </w:pPr>
    </w:p>
    <w:sectPr w:rsidR="00E70BCD" w:rsidRPr="00C830AE" w:rsidSect="007D57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45A6"/>
    <w:multiLevelType w:val="hybridMultilevel"/>
    <w:tmpl w:val="62641B96"/>
    <w:lvl w:ilvl="0" w:tplc="FE56F64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C55876"/>
    <w:multiLevelType w:val="hybridMultilevel"/>
    <w:tmpl w:val="53C2AA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7A7DBD"/>
    <w:multiLevelType w:val="hybridMultilevel"/>
    <w:tmpl w:val="22102B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D51928"/>
    <w:multiLevelType w:val="hybridMultilevel"/>
    <w:tmpl w:val="8296442C"/>
    <w:lvl w:ilvl="0" w:tplc="F37A305A">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E3060FD"/>
    <w:multiLevelType w:val="hybridMultilevel"/>
    <w:tmpl w:val="94003FE0"/>
    <w:lvl w:ilvl="0" w:tplc="43DA8486">
      <w:start w:val="3"/>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D7633F1"/>
    <w:multiLevelType w:val="hybridMultilevel"/>
    <w:tmpl w:val="E17273DA"/>
    <w:lvl w:ilvl="0" w:tplc="FAB8EFB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E5C3B1C"/>
    <w:multiLevelType w:val="hybridMultilevel"/>
    <w:tmpl w:val="C9E8495E"/>
    <w:lvl w:ilvl="0" w:tplc="43DA8486">
      <w:start w:val="3"/>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9FE067C"/>
    <w:multiLevelType w:val="hybridMultilevel"/>
    <w:tmpl w:val="03F0744A"/>
    <w:lvl w:ilvl="0" w:tplc="F37A305A">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39C79DE"/>
    <w:multiLevelType w:val="hybridMultilevel"/>
    <w:tmpl w:val="57EA4698"/>
    <w:lvl w:ilvl="0" w:tplc="F37A305A">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52E3D7B"/>
    <w:multiLevelType w:val="hybridMultilevel"/>
    <w:tmpl w:val="C17673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4185C42"/>
    <w:multiLevelType w:val="hybridMultilevel"/>
    <w:tmpl w:val="3A18FAE8"/>
    <w:lvl w:ilvl="0" w:tplc="FE56F64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F384321"/>
    <w:multiLevelType w:val="hybridMultilevel"/>
    <w:tmpl w:val="CC80D1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FA60933"/>
    <w:multiLevelType w:val="hybridMultilevel"/>
    <w:tmpl w:val="FE5A698C"/>
    <w:lvl w:ilvl="0" w:tplc="F9E43E2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213099A"/>
    <w:multiLevelType w:val="hybridMultilevel"/>
    <w:tmpl w:val="F44CA290"/>
    <w:lvl w:ilvl="0" w:tplc="F37A305A">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544778E"/>
    <w:multiLevelType w:val="hybridMultilevel"/>
    <w:tmpl w:val="C85AC2DA"/>
    <w:lvl w:ilvl="0" w:tplc="108E5D04">
      <w:start w:val="1"/>
      <w:numFmt w:val="decimal"/>
      <w:pStyle w:val="Nadpis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8"/>
  </w:num>
  <w:num w:numId="4">
    <w:abstractNumId w:val="13"/>
  </w:num>
  <w:num w:numId="5">
    <w:abstractNumId w:val="4"/>
  </w:num>
  <w:num w:numId="6">
    <w:abstractNumId w:val="2"/>
  </w:num>
  <w:num w:numId="7">
    <w:abstractNumId w:val="5"/>
  </w:num>
  <w:num w:numId="8">
    <w:abstractNumId w:val="6"/>
  </w:num>
  <w:num w:numId="9">
    <w:abstractNumId w:val="3"/>
  </w:num>
  <w:num w:numId="10">
    <w:abstractNumId w:val="14"/>
    <w:lvlOverride w:ilvl="0">
      <w:startOverride w:val="1"/>
    </w:lvlOverride>
  </w:num>
  <w:num w:numId="11">
    <w:abstractNumId w:val="7"/>
  </w:num>
  <w:num w:numId="12">
    <w:abstractNumId w:val="14"/>
    <w:lvlOverride w:ilvl="0">
      <w:startOverride w:val="1"/>
    </w:lvlOverride>
  </w:num>
  <w:num w:numId="13">
    <w:abstractNumId w:val="12"/>
  </w:num>
  <w:num w:numId="14">
    <w:abstractNumId w:val="0"/>
  </w:num>
  <w:num w:numId="15">
    <w:abstractNumId w:val="11"/>
  </w:num>
  <w:num w:numId="16">
    <w:abstractNumId w:val="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425"/>
  <w:characterSpacingControl w:val="doNotCompress"/>
  <w:compat/>
  <w:rsids>
    <w:rsidRoot w:val="00C830AE"/>
    <w:rsid w:val="000E319C"/>
    <w:rsid w:val="00123F38"/>
    <w:rsid w:val="001F2D81"/>
    <w:rsid w:val="00314E33"/>
    <w:rsid w:val="003C10C5"/>
    <w:rsid w:val="003C3C51"/>
    <w:rsid w:val="003F1865"/>
    <w:rsid w:val="00552998"/>
    <w:rsid w:val="005C31E5"/>
    <w:rsid w:val="005C499F"/>
    <w:rsid w:val="006A4FCA"/>
    <w:rsid w:val="007A661C"/>
    <w:rsid w:val="007D57DA"/>
    <w:rsid w:val="007F6988"/>
    <w:rsid w:val="00833957"/>
    <w:rsid w:val="008353A7"/>
    <w:rsid w:val="00854AC1"/>
    <w:rsid w:val="008827AF"/>
    <w:rsid w:val="00944267"/>
    <w:rsid w:val="00A73D83"/>
    <w:rsid w:val="00AA66F5"/>
    <w:rsid w:val="00AF1547"/>
    <w:rsid w:val="00B616CA"/>
    <w:rsid w:val="00B84CBC"/>
    <w:rsid w:val="00BC4CFE"/>
    <w:rsid w:val="00C1221D"/>
    <w:rsid w:val="00C830AE"/>
    <w:rsid w:val="00C8408C"/>
    <w:rsid w:val="00D61E91"/>
    <w:rsid w:val="00E10F22"/>
    <w:rsid w:val="00E70BCD"/>
    <w:rsid w:val="00E96D8C"/>
    <w:rsid w:val="00F172F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57DA"/>
  </w:style>
  <w:style w:type="paragraph" w:styleId="Nadpis1">
    <w:name w:val="heading 1"/>
    <w:basedOn w:val="Normln"/>
    <w:next w:val="Normln"/>
    <w:link w:val="Nadpis1Char"/>
    <w:uiPriority w:val="9"/>
    <w:qFormat/>
    <w:rsid w:val="008353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C830AE"/>
    <w:pPr>
      <w:keepNext/>
      <w:numPr>
        <w:numId w:val="1"/>
      </w:numPr>
      <w:spacing w:before="240" w:after="60"/>
      <w:jc w:val="center"/>
      <w:outlineLvl w:val="1"/>
    </w:pPr>
    <w:rPr>
      <w:rFonts w:ascii="Arial" w:eastAsiaTheme="majorEastAsia" w:hAnsi="Arial" w:cstheme="majorBidi"/>
      <w:b/>
      <w:bCs/>
      <w:iCs/>
      <w:color w:val="1F497D" w:themeColor="text2"/>
      <w:sz w:val="28"/>
      <w:szCs w:val="28"/>
    </w:rPr>
  </w:style>
  <w:style w:type="paragraph" w:styleId="Nadpis3">
    <w:name w:val="heading 3"/>
    <w:basedOn w:val="Normln"/>
    <w:next w:val="Normln"/>
    <w:link w:val="Nadpis3Char"/>
    <w:uiPriority w:val="9"/>
    <w:unhideWhenUsed/>
    <w:qFormat/>
    <w:rsid w:val="008353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830AE"/>
    <w:rPr>
      <w:rFonts w:ascii="Arial" w:eastAsiaTheme="majorEastAsia" w:hAnsi="Arial" w:cstheme="majorBidi"/>
      <w:b/>
      <w:bCs/>
      <w:iCs/>
      <w:color w:val="1F497D" w:themeColor="text2"/>
      <w:sz w:val="28"/>
      <w:szCs w:val="28"/>
    </w:rPr>
  </w:style>
  <w:style w:type="table" w:styleId="Mkatabulky">
    <w:name w:val="Table Grid"/>
    <w:basedOn w:val="Normlntabulka"/>
    <w:uiPriority w:val="59"/>
    <w:rsid w:val="00C83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5C499F"/>
    <w:pPr>
      <w:ind w:left="720"/>
      <w:contextualSpacing/>
    </w:pPr>
  </w:style>
  <w:style w:type="paragraph" w:styleId="Bezmezer">
    <w:name w:val="No Spacing"/>
    <w:uiPriority w:val="1"/>
    <w:qFormat/>
    <w:rsid w:val="000E319C"/>
    <w:pPr>
      <w:spacing w:after="0" w:line="240" w:lineRule="auto"/>
    </w:pPr>
  </w:style>
  <w:style w:type="paragraph" w:styleId="Nzev">
    <w:name w:val="Title"/>
    <w:basedOn w:val="Normln"/>
    <w:next w:val="Normln"/>
    <w:link w:val="NzevChar"/>
    <w:uiPriority w:val="10"/>
    <w:qFormat/>
    <w:rsid w:val="000E31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0E319C"/>
    <w:rPr>
      <w:rFonts w:asciiTheme="majorHAnsi" w:eastAsiaTheme="majorEastAsia" w:hAnsiTheme="majorHAnsi" w:cstheme="majorBidi"/>
      <w:color w:val="17365D" w:themeColor="text2" w:themeShade="BF"/>
      <w:spacing w:val="5"/>
      <w:kern w:val="28"/>
      <w:sz w:val="52"/>
      <w:szCs w:val="52"/>
    </w:rPr>
  </w:style>
  <w:style w:type="character" w:customStyle="1" w:styleId="Nadpis3Char">
    <w:name w:val="Nadpis 3 Char"/>
    <w:basedOn w:val="Standardnpsmoodstavce"/>
    <w:link w:val="Nadpis3"/>
    <w:uiPriority w:val="9"/>
    <w:rsid w:val="008353A7"/>
    <w:rPr>
      <w:rFonts w:asciiTheme="majorHAnsi" w:eastAsiaTheme="majorEastAsia" w:hAnsiTheme="majorHAnsi" w:cstheme="majorBidi"/>
      <w:b/>
      <w:bCs/>
      <w:color w:val="4F81BD" w:themeColor="accent1"/>
    </w:rPr>
  </w:style>
  <w:style w:type="character" w:customStyle="1" w:styleId="Nadpis1Char">
    <w:name w:val="Nadpis 1 Char"/>
    <w:basedOn w:val="Standardnpsmoodstavce"/>
    <w:link w:val="Nadpis1"/>
    <w:uiPriority w:val="9"/>
    <w:rsid w:val="008353A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8353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C830AE"/>
    <w:pPr>
      <w:keepNext/>
      <w:numPr>
        <w:numId w:val="1"/>
      </w:numPr>
      <w:spacing w:before="240" w:after="60"/>
      <w:jc w:val="center"/>
      <w:outlineLvl w:val="1"/>
    </w:pPr>
    <w:rPr>
      <w:rFonts w:ascii="Arial" w:eastAsiaTheme="majorEastAsia" w:hAnsi="Arial" w:cstheme="majorBidi"/>
      <w:b/>
      <w:bCs/>
      <w:iCs/>
      <w:color w:val="1F497D" w:themeColor="text2"/>
      <w:sz w:val="28"/>
      <w:szCs w:val="28"/>
    </w:rPr>
  </w:style>
  <w:style w:type="paragraph" w:styleId="Nadpis3">
    <w:name w:val="heading 3"/>
    <w:basedOn w:val="Normln"/>
    <w:next w:val="Normln"/>
    <w:link w:val="Nadpis3Char"/>
    <w:uiPriority w:val="9"/>
    <w:unhideWhenUsed/>
    <w:qFormat/>
    <w:rsid w:val="008353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830AE"/>
    <w:rPr>
      <w:rFonts w:ascii="Arial" w:eastAsiaTheme="majorEastAsia" w:hAnsi="Arial" w:cstheme="majorBidi"/>
      <w:b/>
      <w:bCs/>
      <w:iCs/>
      <w:color w:val="1F497D" w:themeColor="text2"/>
      <w:sz w:val="28"/>
      <w:szCs w:val="28"/>
    </w:rPr>
  </w:style>
  <w:style w:type="table" w:styleId="Mkatabulky">
    <w:name w:val="Table Grid"/>
    <w:basedOn w:val="Normlntabulka"/>
    <w:uiPriority w:val="59"/>
    <w:rsid w:val="00C83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C499F"/>
    <w:pPr>
      <w:ind w:left="720"/>
      <w:contextualSpacing/>
    </w:pPr>
  </w:style>
  <w:style w:type="paragraph" w:styleId="Bezmezer">
    <w:name w:val="No Spacing"/>
    <w:uiPriority w:val="1"/>
    <w:qFormat/>
    <w:rsid w:val="000E319C"/>
    <w:pPr>
      <w:spacing w:after="0" w:line="240" w:lineRule="auto"/>
    </w:pPr>
  </w:style>
  <w:style w:type="paragraph" w:styleId="Nzev">
    <w:name w:val="Title"/>
    <w:basedOn w:val="Normln"/>
    <w:next w:val="Normln"/>
    <w:link w:val="NzevChar"/>
    <w:uiPriority w:val="10"/>
    <w:qFormat/>
    <w:rsid w:val="000E31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0E319C"/>
    <w:rPr>
      <w:rFonts w:asciiTheme="majorHAnsi" w:eastAsiaTheme="majorEastAsia" w:hAnsiTheme="majorHAnsi" w:cstheme="majorBidi"/>
      <w:color w:val="17365D" w:themeColor="text2" w:themeShade="BF"/>
      <w:spacing w:val="5"/>
      <w:kern w:val="28"/>
      <w:sz w:val="52"/>
      <w:szCs w:val="52"/>
    </w:rPr>
  </w:style>
  <w:style w:type="character" w:customStyle="1" w:styleId="Nadpis3Char">
    <w:name w:val="Nadpis 3 Char"/>
    <w:basedOn w:val="Standardnpsmoodstavce"/>
    <w:link w:val="Nadpis3"/>
    <w:uiPriority w:val="9"/>
    <w:rsid w:val="008353A7"/>
    <w:rPr>
      <w:rFonts w:asciiTheme="majorHAnsi" w:eastAsiaTheme="majorEastAsia" w:hAnsiTheme="majorHAnsi" w:cstheme="majorBidi"/>
      <w:b/>
      <w:bCs/>
      <w:color w:val="4F81BD" w:themeColor="accent1"/>
    </w:rPr>
  </w:style>
  <w:style w:type="character" w:customStyle="1" w:styleId="Nadpis1Char">
    <w:name w:val="Nadpis 1 Char"/>
    <w:basedOn w:val="Standardnpsmoodstavce"/>
    <w:link w:val="Nadpis1"/>
    <w:uiPriority w:val="9"/>
    <w:rsid w:val="008353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7658</Words>
  <Characters>45184</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52737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Čepelová Heda</dc:creator>
  <cp:lastModifiedBy>OSPZV3 ospzv3</cp:lastModifiedBy>
  <cp:revision>2</cp:revision>
  <cp:lastPrinted>2017-09-05T11:37:00Z</cp:lastPrinted>
  <dcterms:created xsi:type="dcterms:W3CDTF">2017-09-05T11:39:00Z</dcterms:created>
  <dcterms:modified xsi:type="dcterms:W3CDTF">2017-09-05T11:39:00Z</dcterms:modified>
</cp:coreProperties>
</file>